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themeColor="background1"/>
  <w:body>
    <w:p>
      <w:pPr>
        <w:pStyle w:val="24"/>
        <w:tabs>
          <w:tab w:val="right" w:leader="dot" w:pos="1340"/>
        </w:tabs>
        <w:spacing w:before="0"/>
        <w:ind w:firstLine="280" w:firstLineChars="100"/>
        <w:jc w:val="both"/>
        <w:rPr>
          <w:rFonts w:ascii="Times New Roman" w:hAnsi="Times New Roman"/>
          <w:color w:val="auto"/>
        </w:rPr>
      </w:pPr>
      <w:r>
        <w:rPr>
          <w:rFonts w:ascii="Times New Roman" w:hAnsi="Times New Roman" w:eastAsia="Calibri"/>
          <w:bCs w:val="0"/>
          <w:color w:val="auto"/>
        </w:rPr>
        <w:t xml:space="preserve">                                  BAHIR DAR UNIVERSITY</w:t>
      </w:r>
    </w:p>
    <w:p>
      <w:pPr>
        <w:pStyle w:val="24"/>
        <w:spacing w:before="0"/>
        <w:jc w:val="both"/>
        <w:rPr>
          <w:rFonts w:ascii="Times New Roman" w:hAnsi="Times New Roman"/>
          <w:color w:val="auto"/>
        </w:rPr>
      </w:pPr>
      <w:r>
        <w:rPr>
          <w:rFonts w:ascii="Times New Roman" w:hAnsi="Times New Roman"/>
          <w:color w:val="auto"/>
        </w:rPr>
        <w:t xml:space="preserve">                                  GRADUATE PROGRAM</w:t>
      </w:r>
    </w:p>
    <w:p>
      <w:pPr>
        <w:pStyle w:val="24"/>
        <w:spacing w:before="0"/>
        <w:jc w:val="both"/>
        <w:rPr>
          <w:rFonts w:ascii="Times New Roman" w:hAnsi="Times New Roman"/>
          <w:color w:val="auto"/>
        </w:rPr>
      </w:pPr>
      <w:r>
        <w:rPr>
          <w:rFonts w:ascii="Times New Roman" w:hAnsi="Times New Roman"/>
          <w:color w:val="auto"/>
        </w:rPr>
        <w:t xml:space="preserve">                                  DEPARTMENT OF CHEMISTRY</w:t>
      </w:r>
    </w:p>
    <w:p>
      <w:pPr>
        <w:jc w:val="both"/>
        <w:rPr>
          <w:szCs w:val="24"/>
        </w:rPr>
      </w:pPr>
      <w:r>
        <w:rPr>
          <w:szCs w:val="24"/>
          <w:lang w:val="en-US"/>
        </w:rPr>
        <w:t xml:space="preserve">                                       </w:t>
      </w:r>
      <w:bookmarkStart w:id="78" w:name="_GoBack"/>
      <w:bookmarkEnd w:id="78"/>
      <w:r>
        <w:rPr>
          <w:szCs w:val="24"/>
        </w:rPr>
        <w:drawing>
          <wp:inline distT="0" distB="0" distL="0" distR="0">
            <wp:extent cx="2901950" cy="151828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904817" cy="1519957"/>
                    </a:xfrm>
                    <a:prstGeom prst="rect">
                      <a:avLst/>
                    </a:prstGeom>
                    <a:noFill/>
                    <a:ln>
                      <a:noFill/>
                    </a:ln>
                  </pic:spPr>
                </pic:pic>
              </a:graphicData>
            </a:graphic>
          </wp:inline>
        </w:drawing>
      </w:r>
    </w:p>
    <w:p>
      <w:pPr>
        <w:jc w:val="both"/>
        <w:rPr>
          <w:b/>
          <w:sz w:val="28"/>
          <w:szCs w:val="28"/>
        </w:rPr>
      </w:pPr>
      <w:r>
        <w:rPr>
          <w:b/>
          <w:sz w:val="28"/>
          <w:szCs w:val="28"/>
        </w:rPr>
        <w:t xml:space="preserve">PHYTOCHEMICAL INVESTIGATION OF ROOT OF </w:t>
      </w:r>
      <w:r>
        <w:rPr>
          <w:b/>
          <w:i/>
          <w:sz w:val="28"/>
          <w:szCs w:val="28"/>
        </w:rPr>
        <w:t>Verbascum sinaiticum</w:t>
      </w:r>
      <w:r>
        <w:rPr>
          <w:b/>
          <w:sz w:val="28"/>
          <w:szCs w:val="28"/>
        </w:rPr>
        <w:t xml:space="preserve"> (Yeahiya Joro)</w:t>
      </w:r>
    </w:p>
    <w:p>
      <w:pPr>
        <w:jc w:val="both"/>
        <w:rPr>
          <w:rFonts w:eastAsia="Times New Roman"/>
          <w:b/>
          <w:szCs w:val="24"/>
        </w:rPr>
      </w:pPr>
    </w:p>
    <w:p>
      <w:pPr>
        <w:jc w:val="both"/>
        <w:rPr>
          <w:rFonts w:eastAsia="Times New Roman"/>
          <w:b/>
          <w:szCs w:val="24"/>
        </w:rPr>
      </w:pPr>
      <w:r>
        <w:rPr>
          <w:rFonts w:eastAsia="Times New Roman"/>
          <w:b/>
          <w:szCs w:val="24"/>
        </w:rPr>
        <w:t xml:space="preserve">A Thesis Submitted to the Department of Chemistry in Partial Fulfillment of the Requirements for the Degree of Master of Science in Chemistry (Organic Chemistry) at Bahir Dar University </w:t>
      </w:r>
    </w:p>
    <w:p>
      <w:pPr>
        <w:jc w:val="both"/>
        <w:rPr>
          <w:b/>
          <w:szCs w:val="24"/>
        </w:rPr>
      </w:pPr>
    </w:p>
    <w:p>
      <w:pPr>
        <w:jc w:val="both"/>
        <w:rPr>
          <w:b/>
          <w:szCs w:val="24"/>
        </w:rPr>
      </w:pPr>
      <w:r>
        <w:rPr>
          <w:b/>
          <w:szCs w:val="24"/>
        </w:rPr>
        <w:t xml:space="preserve">                                               By </w:t>
      </w:r>
    </w:p>
    <w:p>
      <w:pPr>
        <w:jc w:val="both"/>
        <w:rPr>
          <w:b/>
          <w:szCs w:val="24"/>
        </w:rPr>
      </w:pPr>
      <w:r>
        <w:rPr>
          <w:b/>
          <w:szCs w:val="24"/>
        </w:rPr>
        <w:t xml:space="preserve">                                         MOTI ABERA  HUNDE</w:t>
      </w:r>
    </w:p>
    <w:p>
      <w:pPr>
        <w:jc w:val="both"/>
        <w:rPr>
          <w:b/>
          <w:szCs w:val="24"/>
        </w:rPr>
      </w:pPr>
      <w:r>
        <w:rPr>
          <w:b/>
          <w:szCs w:val="24"/>
        </w:rPr>
        <w:t xml:space="preserve">                                              Advisor  </w:t>
      </w:r>
    </w:p>
    <w:p>
      <w:pPr>
        <w:jc w:val="both"/>
        <w:rPr>
          <w:b/>
          <w:szCs w:val="24"/>
        </w:rPr>
      </w:pPr>
      <w:r>
        <w:rPr>
          <w:b/>
          <w:szCs w:val="24"/>
        </w:rPr>
        <w:t xml:space="preserve">                                          SOLOMON LIBSU (PhD)</w:t>
      </w:r>
    </w:p>
    <w:p>
      <w:pPr>
        <w:jc w:val="both"/>
        <w:rPr>
          <w:b/>
          <w:szCs w:val="24"/>
        </w:rPr>
      </w:pPr>
    </w:p>
    <w:p>
      <w:pPr>
        <w:jc w:val="both"/>
        <w:rPr>
          <w:szCs w:val="24"/>
        </w:rPr>
      </w:pPr>
      <w:r>
        <w:rPr>
          <w:b/>
          <w:szCs w:val="24"/>
        </w:rPr>
        <w:t xml:space="preserve">                                                                                                            Bahir Dar, Ethiopia</w:t>
      </w:r>
    </w:p>
    <w:p>
      <w:pPr>
        <w:ind w:firstLine="6840" w:firstLineChars="2850"/>
        <w:jc w:val="both"/>
        <w:rPr>
          <w:szCs w:val="24"/>
        </w:rPr>
        <w:sectPr>
          <w:footerReference r:id="rId5" w:type="first"/>
          <w:headerReference r:id="rId3" w:type="default"/>
          <w:footerReference r:id="rId4" w:type="default"/>
          <w:pgSz w:w="12240" w:h="15840"/>
          <w:pgMar w:top="1440" w:right="1800" w:bottom="1440" w:left="1800" w:header="720" w:footer="720" w:gutter="0"/>
          <w:cols w:space="720" w:num="1"/>
        </w:sectPr>
      </w:pPr>
      <w:r>
        <w:rPr>
          <w:szCs w:val="24"/>
        </w:rPr>
        <w:t>June, 2018</w:t>
      </w:r>
    </w:p>
    <w:p>
      <w:pPr>
        <w:jc w:val="both"/>
        <w:rPr>
          <w:szCs w:val="24"/>
        </w:rPr>
      </w:pPr>
      <w:r>
        <w:rPr>
          <w:szCs w:val="24"/>
        </w:rPr>
        <w:drawing>
          <wp:inline distT="0" distB="0" distL="0" distR="0">
            <wp:extent cx="1661795" cy="869315"/>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1659861" cy="868529"/>
                    </a:xfrm>
                    <a:prstGeom prst="rect">
                      <a:avLst/>
                    </a:prstGeom>
                    <a:noFill/>
                    <a:ln>
                      <a:noFill/>
                    </a:ln>
                  </pic:spPr>
                </pic:pic>
              </a:graphicData>
            </a:graphic>
          </wp:inline>
        </w:drawing>
      </w:r>
    </w:p>
    <w:p>
      <w:pPr>
        <w:pStyle w:val="2"/>
        <w:jc w:val="both"/>
        <w:rPr>
          <w:rFonts w:ascii="Times New Roman" w:hAnsi="Times New Roman"/>
          <w:color w:val="auto"/>
          <w:sz w:val="24"/>
          <w:szCs w:val="24"/>
        </w:rPr>
        <w:sectPr>
          <w:footerReference r:id="rId6" w:type="default"/>
          <w:pgSz w:w="12240" w:h="16340"/>
          <w:pgMar w:top="1440" w:right="1800" w:bottom="1440" w:left="1800" w:header="720" w:footer="720" w:gutter="0"/>
          <w:pgNumType w:fmt="lowerRoman" w:start="1"/>
          <w:cols w:space="720" w:num="1"/>
        </w:sectPr>
      </w:pPr>
    </w:p>
    <w:p>
      <w:pPr>
        <w:pStyle w:val="2"/>
        <w:jc w:val="both"/>
        <w:rPr>
          <w:rFonts w:ascii="Times New Roman" w:hAnsi="Times New Roman"/>
          <w:color w:val="auto"/>
          <w:sz w:val="24"/>
          <w:szCs w:val="24"/>
        </w:rPr>
      </w:pPr>
      <w:bookmarkStart w:id="0" w:name="_Toc11083"/>
      <w:r>
        <w:rPr>
          <w:rFonts w:ascii="Times New Roman" w:hAnsi="Times New Roman"/>
          <w:color w:val="auto"/>
          <w:sz w:val="24"/>
          <w:szCs w:val="24"/>
        </w:rPr>
        <w:t>Approval Sheet</w:t>
      </w:r>
      <w:bookmarkEnd w:id="0"/>
    </w:p>
    <w:p>
      <w:pPr>
        <w:jc w:val="both"/>
        <w:rPr>
          <w:szCs w:val="24"/>
        </w:rPr>
      </w:pPr>
      <w:r>
        <w:rPr>
          <w:szCs w:val="24"/>
        </w:rPr>
        <w:t>The thesis entitled “</w:t>
      </w:r>
      <w:r>
        <w:rPr>
          <w:b/>
          <w:szCs w:val="24"/>
        </w:rPr>
        <w:t xml:space="preserve">PHYTOCHEMICAL INVESTIGATION OF ROOT OF </w:t>
      </w:r>
      <w:r>
        <w:rPr>
          <w:b/>
          <w:i/>
          <w:szCs w:val="24"/>
        </w:rPr>
        <w:t>Verbascum sinaiticum</w:t>
      </w:r>
      <w:r>
        <w:rPr>
          <w:b/>
          <w:szCs w:val="24"/>
        </w:rPr>
        <w:t xml:space="preserve"> (</w:t>
      </w:r>
      <w:r>
        <w:rPr>
          <w:b/>
          <w:iCs/>
          <w:szCs w:val="24"/>
        </w:rPr>
        <w:t>YeahiyaJoro</w:t>
      </w:r>
      <w:r>
        <w:rPr>
          <w:b/>
          <w:szCs w:val="24"/>
        </w:rPr>
        <w:t>)</w:t>
      </w:r>
      <w:r>
        <w:rPr>
          <w:szCs w:val="24"/>
        </w:rPr>
        <w:t xml:space="preserve">” by Moti Abera is approved for the degree of Master of Science in Chemistry (Organic). </w:t>
      </w:r>
    </w:p>
    <w:p>
      <w:pPr>
        <w:autoSpaceDE w:val="0"/>
        <w:autoSpaceDN w:val="0"/>
        <w:adjustRightInd w:val="0"/>
        <w:spacing w:after="0" w:line="240" w:lineRule="auto"/>
        <w:jc w:val="both"/>
        <w:rPr>
          <w:rFonts w:eastAsia="SimSun"/>
          <w:szCs w:val="24"/>
        </w:rPr>
      </w:pPr>
    </w:p>
    <w:p>
      <w:pPr>
        <w:jc w:val="both"/>
        <w:rPr>
          <w:szCs w:val="24"/>
        </w:rPr>
      </w:pPr>
      <w:r>
        <w:rPr>
          <w:szCs w:val="24"/>
        </w:rPr>
        <w:t xml:space="preserve">                                                               BOARD OF EXAMINERS </w:t>
      </w:r>
    </w:p>
    <w:p>
      <w:pPr>
        <w:jc w:val="both"/>
        <w:rPr>
          <w:szCs w:val="24"/>
        </w:rPr>
      </w:pPr>
      <w:r>
        <w:rPr>
          <w:szCs w:val="24"/>
        </w:rPr>
        <w:t xml:space="preserve">                                          Name                        Signature                          Date </w:t>
      </w:r>
    </w:p>
    <w:p>
      <w:pPr>
        <w:ind w:left="1560" w:hanging="1560" w:hangingChars="650"/>
        <w:jc w:val="both"/>
        <w:rPr>
          <w:szCs w:val="24"/>
        </w:rPr>
      </w:pPr>
      <w:r>
        <w:rPr>
          <w:szCs w:val="24"/>
        </w:rPr>
        <w:t>Advisor      ------------------------------           --------------------            -- -------------------</w:t>
      </w:r>
    </w:p>
    <w:p>
      <w:pPr>
        <w:ind w:left="1560" w:hanging="1560" w:hangingChars="650"/>
        <w:jc w:val="both"/>
        <w:rPr>
          <w:szCs w:val="24"/>
        </w:rPr>
      </w:pPr>
    </w:p>
    <w:p>
      <w:pPr>
        <w:ind w:left="1560" w:hanging="1560" w:hangingChars="650"/>
        <w:jc w:val="both"/>
        <w:rPr>
          <w:szCs w:val="24"/>
        </w:rPr>
      </w:pPr>
      <w:r>
        <w:rPr>
          <w:szCs w:val="24"/>
        </w:rPr>
        <w:t>External Examiner -------------------------------        ------------------           -------------------</w:t>
      </w:r>
    </w:p>
    <w:p>
      <w:pPr>
        <w:ind w:left="1560" w:hanging="1560" w:hangingChars="650"/>
        <w:jc w:val="both"/>
        <w:rPr>
          <w:szCs w:val="24"/>
        </w:rPr>
      </w:pPr>
    </w:p>
    <w:p>
      <w:pPr>
        <w:ind w:left="1560" w:hanging="1560" w:hangingChars="650"/>
        <w:jc w:val="both"/>
        <w:rPr>
          <w:szCs w:val="24"/>
        </w:rPr>
      </w:pPr>
      <w:r>
        <w:rPr>
          <w:szCs w:val="24"/>
        </w:rPr>
        <w:t>Internal Examiner   ----------------------------------       -----------------          --------------------</w:t>
      </w:r>
    </w:p>
    <w:p>
      <w:pPr>
        <w:ind w:left="1560" w:hanging="1560" w:hangingChars="650"/>
        <w:jc w:val="both"/>
        <w:rPr>
          <w:szCs w:val="24"/>
        </w:rPr>
      </w:pPr>
    </w:p>
    <w:p>
      <w:pPr>
        <w:ind w:left="1560" w:hanging="1560" w:hangingChars="650"/>
        <w:jc w:val="both"/>
        <w:rPr>
          <w:szCs w:val="24"/>
        </w:rPr>
      </w:pPr>
      <w:r>
        <w:rPr>
          <w:szCs w:val="24"/>
        </w:rPr>
        <w:t xml:space="preserve"> Chair Person   --------------------------------------        ------------------          -------------------</w:t>
      </w:r>
    </w:p>
    <w:p>
      <w:pPr>
        <w:jc w:val="both"/>
        <w:rPr>
          <w:szCs w:val="24"/>
        </w:rPr>
      </w:pPr>
    </w:p>
    <w:p>
      <w:pPr>
        <w:jc w:val="both"/>
        <w:rPr>
          <w:szCs w:val="24"/>
        </w:rPr>
      </w:pPr>
    </w:p>
    <w:p>
      <w:pPr>
        <w:jc w:val="both"/>
        <w:rPr>
          <w:szCs w:val="24"/>
        </w:rPr>
      </w:pPr>
    </w:p>
    <w:p>
      <w:pPr>
        <w:jc w:val="both"/>
        <w:rPr>
          <w:szCs w:val="24"/>
        </w:rPr>
      </w:pPr>
      <w:r>
        <w:rPr>
          <w:szCs w:val="24"/>
        </w:rPr>
        <w:t xml:space="preserve">                                                                                            Bahir Dar University, Bahir Dar</w:t>
      </w:r>
    </w:p>
    <w:p>
      <w:pPr>
        <w:jc w:val="both"/>
        <w:rPr>
          <w:szCs w:val="24"/>
        </w:rPr>
      </w:pPr>
    </w:p>
    <w:p>
      <w:pPr>
        <w:jc w:val="both"/>
        <w:rPr>
          <w:szCs w:val="24"/>
        </w:rPr>
      </w:pPr>
    </w:p>
    <w:p>
      <w:pPr>
        <w:pStyle w:val="2"/>
        <w:jc w:val="both"/>
        <w:rPr>
          <w:rFonts w:ascii="Times New Roman" w:hAnsi="Times New Roman" w:eastAsia="SimSun"/>
          <w:color w:val="auto"/>
          <w:sz w:val="24"/>
          <w:szCs w:val="24"/>
        </w:rPr>
      </w:pPr>
      <w:bookmarkStart w:id="1" w:name="_Toc3303"/>
      <w:r>
        <w:rPr>
          <w:rFonts w:ascii="Times New Roman" w:hAnsi="Times New Roman" w:eastAsia="SimSun"/>
          <w:color w:val="auto"/>
          <w:sz w:val="24"/>
          <w:szCs w:val="24"/>
        </w:rPr>
        <w:t>DECLARATION</w:t>
      </w:r>
      <w:bookmarkEnd w:id="1"/>
    </w:p>
    <w:p>
      <w:pPr>
        <w:autoSpaceDE w:val="0"/>
        <w:autoSpaceDN w:val="0"/>
        <w:adjustRightInd w:val="0"/>
        <w:spacing w:after="0" w:line="240" w:lineRule="auto"/>
        <w:jc w:val="both"/>
        <w:rPr>
          <w:rFonts w:eastAsia="SimSun"/>
          <w:b/>
          <w:bCs/>
          <w:szCs w:val="24"/>
        </w:rPr>
      </w:pPr>
    </w:p>
    <w:p>
      <w:pPr>
        <w:jc w:val="both"/>
        <w:rPr>
          <w:szCs w:val="24"/>
        </w:rPr>
      </w:pPr>
      <w:r>
        <w:rPr>
          <w:szCs w:val="24"/>
        </w:rPr>
        <w:t>I the undersigned, declare that this is my original work and has not been presented for a degree in any other University and that all sources of materials used for thesis have been duly acknowledged.</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r>
        <w:rPr>
          <w:szCs w:val="24"/>
        </w:rPr>
        <w:t>Name:  Moti Abera</w:t>
      </w:r>
    </w:p>
    <w:p>
      <w:pPr>
        <w:jc w:val="both"/>
        <w:rPr>
          <w:szCs w:val="24"/>
        </w:rPr>
      </w:pPr>
      <w:r>
        <w:rPr>
          <w:szCs w:val="24"/>
        </w:rPr>
        <w:t xml:space="preserve"> Signature -----------------</w:t>
      </w:r>
    </w:p>
    <w:p>
      <w:pPr>
        <w:jc w:val="both"/>
        <w:rPr>
          <w:szCs w:val="24"/>
        </w:rPr>
      </w:pPr>
      <w:r>
        <w:rPr>
          <w:szCs w:val="24"/>
        </w:rPr>
        <w:t>Date   ---------------------</w:t>
      </w:r>
    </w:p>
    <w:p>
      <w:pPr>
        <w:autoSpaceDE w:val="0"/>
        <w:autoSpaceDN w:val="0"/>
        <w:adjustRightInd w:val="0"/>
        <w:jc w:val="both"/>
        <w:rPr>
          <w:b/>
          <w:bCs/>
          <w:szCs w:val="24"/>
        </w:rPr>
      </w:pPr>
    </w:p>
    <w:p>
      <w:pPr>
        <w:autoSpaceDE w:val="0"/>
        <w:autoSpaceDN w:val="0"/>
        <w:adjustRightInd w:val="0"/>
        <w:jc w:val="both"/>
        <w:rPr>
          <w:b/>
          <w:bCs/>
          <w:szCs w:val="24"/>
        </w:rPr>
      </w:pPr>
    </w:p>
    <w:p>
      <w:pPr>
        <w:autoSpaceDE w:val="0"/>
        <w:autoSpaceDN w:val="0"/>
        <w:adjustRightInd w:val="0"/>
        <w:jc w:val="both"/>
        <w:rPr>
          <w:b/>
          <w:bCs/>
          <w:szCs w:val="24"/>
        </w:rPr>
      </w:pPr>
    </w:p>
    <w:p>
      <w:pPr>
        <w:autoSpaceDE w:val="0"/>
        <w:autoSpaceDN w:val="0"/>
        <w:adjustRightInd w:val="0"/>
        <w:jc w:val="both"/>
        <w:rPr>
          <w:b/>
          <w:bCs/>
          <w:szCs w:val="24"/>
        </w:rPr>
      </w:pPr>
    </w:p>
    <w:p>
      <w:pPr>
        <w:autoSpaceDE w:val="0"/>
        <w:autoSpaceDN w:val="0"/>
        <w:adjustRightInd w:val="0"/>
        <w:jc w:val="both"/>
        <w:rPr>
          <w:b/>
          <w:bCs/>
          <w:szCs w:val="24"/>
        </w:rPr>
      </w:pPr>
    </w:p>
    <w:p>
      <w:pPr>
        <w:autoSpaceDE w:val="0"/>
        <w:autoSpaceDN w:val="0"/>
        <w:adjustRightInd w:val="0"/>
        <w:jc w:val="both"/>
        <w:rPr>
          <w:b/>
          <w:bCs/>
          <w:szCs w:val="24"/>
        </w:rPr>
      </w:pPr>
    </w:p>
    <w:p>
      <w:pPr>
        <w:pStyle w:val="2"/>
        <w:jc w:val="both"/>
        <w:rPr>
          <w:rFonts w:ascii="Times New Roman" w:hAnsi="Times New Roman"/>
          <w:color w:val="auto"/>
          <w:sz w:val="24"/>
          <w:szCs w:val="24"/>
        </w:rPr>
      </w:pPr>
      <w:bookmarkStart w:id="2" w:name="_Toc795"/>
      <w:r>
        <w:rPr>
          <w:rFonts w:ascii="Times New Roman" w:hAnsi="Times New Roman"/>
          <w:color w:val="auto"/>
          <w:sz w:val="24"/>
          <w:szCs w:val="24"/>
        </w:rPr>
        <w:t>Acknowledgement</w:t>
      </w:r>
      <w:bookmarkEnd w:id="2"/>
    </w:p>
    <w:p>
      <w:pPr>
        <w:suppressAutoHyphens/>
        <w:autoSpaceDE w:val="0"/>
        <w:autoSpaceDN w:val="0"/>
        <w:adjustRightInd w:val="0"/>
        <w:spacing w:after="0"/>
        <w:jc w:val="both"/>
        <w:rPr>
          <w:szCs w:val="24"/>
        </w:rPr>
      </w:pPr>
      <w:r>
        <w:rPr>
          <w:szCs w:val="24"/>
        </w:rPr>
        <w:t xml:space="preserve"> First of all, I would like to thank the almighty God and his mother Merry for uncountable help in entire my life span.</w:t>
      </w:r>
    </w:p>
    <w:p>
      <w:pPr>
        <w:jc w:val="both"/>
        <w:rPr>
          <w:szCs w:val="24"/>
        </w:rPr>
      </w:pPr>
      <w:r>
        <w:rPr>
          <w:szCs w:val="24"/>
        </w:rPr>
        <w:t>I  would  like  to  express  my  deepest  respect  and  most  sincere  gratitude  to  my advisor,  Solomon Libsu (PhD) for  his  guidance,  professional  advice,  constructive comments and encouragement of my work from the beginning up to the completion of  this  research. I would like to acknowledge friends and family who supported me during my time here. I  am  also  grateful  to  all  persons  that  have  direct  or  indirect  contribution  for the accomplishment of  this study.</w:t>
      </w:r>
    </w:p>
    <w:p>
      <w:pPr>
        <w:jc w:val="both"/>
        <w:rPr>
          <w:szCs w:val="24"/>
        </w:rPr>
      </w:pPr>
      <w:r>
        <w:rPr>
          <w:szCs w:val="24"/>
        </w:rPr>
        <w:t>Last but certainly not least, thanks to Ethiopian minister of education for their financial support and Bahir Dar University for lab and material supports.</w:t>
      </w:r>
    </w:p>
    <w:p>
      <w:pPr>
        <w:tabs>
          <w:tab w:val="left" w:pos="1311"/>
        </w:tabs>
        <w:autoSpaceDE w:val="0"/>
        <w:autoSpaceDN w:val="0"/>
        <w:adjustRightInd w:val="0"/>
        <w:jc w:val="both"/>
        <w:rPr>
          <w:b/>
          <w:bCs/>
          <w:szCs w:val="24"/>
        </w:rPr>
      </w:pPr>
      <w:r>
        <w:rPr>
          <w:b/>
          <w:bCs/>
          <w:szCs w:val="24"/>
        </w:rPr>
        <w:tab/>
      </w:r>
    </w:p>
    <w:p>
      <w:pPr>
        <w:autoSpaceDE w:val="0"/>
        <w:autoSpaceDN w:val="0"/>
        <w:adjustRightInd w:val="0"/>
        <w:jc w:val="both"/>
        <w:rPr>
          <w:b/>
          <w:bCs/>
          <w:szCs w:val="24"/>
        </w:rPr>
      </w:pPr>
    </w:p>
    <w:p>
      <w:pPr>
        <w:autoSpaceDE w:val="0"/>
        <w:autoSpaceDN w:val="0"/>
        <w:adjustRightInd w:val="0"/>
        <w:jc w:val="both"/>
        <w:rPr>
          <w:b/>
          <w:bCs/>
          <w:szCs w:val="24"/>
        </w:rPr>
      </w:pPr>
    </w:p>
    <w:p>
      <w:pPr>
        <w:autoSpaceDE w:val="0"/>
        <w:autoSpaceDN w:val="0"/>
        <w:adjustRightInd w:val="0"/>
        <w:jc w:val="both"/>
        <w:rPr>
          <w:b/>
          <w:bCs/>
          <w:szCs w:val="24"/>
        </w:rPr>
      </w:pPr>
    </w:p>
    <w:p>
      <w:pPr>
        <w:autoSpaceDE w:val="0"/>
        <w:autoSpaceDN w:val="0"/>
        <w:adjustRightInd w:val="0"/>
        <w:jc w:val="both"/>
        <w:rPr>
          <w:b/>
          <w:bCs/>
          <w:szCs w:val="24"/>
        </w:rPr>
      </w:pPr>
    </w:p>
    <w:p>
      <w:pPr>
        <w:autoSpaceDE w:val="0"/>
        <w:autoSpaceDN w:val="0"/>
        <w:adjustRightInd w:val="0"/>
        <w:jc w:val="both"/>
        <w:rPr>
          <w:b/>
          <w:bCs/>
          <w:szCs w:val="24"/>
        </w:rPr>
      </w:pPr>
    </w:p>
    <w:p>
      <w:pPr>
        <w:autoSpaceDE w:val="0"/>
        <w:autoSpaceDN w:val="0"/>
        <w:adjustRightInd w:val="0"/>
        <w:jc w:val="both"/>
        <w:rPr>
          <w:b/>
          <w:bCs/>
          <w:szCs w:val="24"/>
        </w:rPr>
      </w:pPr>
    </w:p>
    <w:p>
      <w:pPr>
        <w:autoSpaceDE w:val="0"/>
        <w:autoSpaceDN w:val="0"/>
        <w:adjustRightInd w:val="0"/>
        <w:jc w:val="both"/>
        <w:rPr>
          <w:b/>
          <w:bCs/>
          <w:szCs w:val="24"/>
        </w:rPr>
      </w:pPr>
    </w:p>
    <w:p>
      <w:pPr>
        <w:autoSpaceDE w:val="0"/>
        <w:autoSpaceDN w:val="0"/>
        <w:adjustRightInd w:val="0"/>
        <w:jc w:val="both"/>
        <w:rPr>
          <w:b/>
          <w:bCs/>
          <w:szCs w:val="24"/>
        </w:rPr>
      </w:pPr>
    </w:p>
    <w:p>
      <w:pPr>
        <w:autoSpaceDE w:val="0"/>
        <w:autoSpaceDN w:val="0"/>
        <w:adjustRightInd w:val="0"/>
        <w:jc w:val="both"/>
        <w:rPr>
          <w:b/>
          <w:bCs/>
          <w:szCs w:val="24"/>
        </w:rPr>
      </w:pPr>
    </w:p>
    <w:p>
      <w:pPr>
        <w:jc w:val="both"/>
        <w:rPr>
          <w:b/>
          <w:bCs/>
          <w:szCs w:val="24"/>
        </w:rPr>
      </w:pPr>
    </w:p>
    <w:p>
      <w:pPr>
        <w:jc w:val="both"/>
        <w:rPr>
          <w:b/>
          <w:szCs w:val="24"/>
        </w:rPr>
      </w:pPr>
    </w:p>
    <w:p>
      <w:pPr>
        <w:jc w:val="both"/>
        <w:rPr>
          <w:b/>
          <w:szCs w:val="24"/>
        </w:rPr>
      </w:pPr>
    </w:p>
    <w:sdt>
      <w:sdtPr>
        <w:rPr>
          <w:rFonts w:ascii="Times New Roman" w:hAnsi="Times New Roman" w:eastAsia="Calibri" w:cs="Times New Roman"/>
          <w:b w:val="0"/>
          <w:bCs w:val="0"/>
          <w:color w:val="auto"/>
          <w:sz w:val="24"/>
          <w:szCs w:val="24"/>
        </w:rPr>
        <w:id w:val="672657214"/>
      </w:sdtPr>
      <w:sdtEndPr>
        <w:rPr>
          <w:rFonts w:ascii="Times New Roman" w:hAnsi="Times New Roman" w:eastAsia="Calibri" w:cs="Times New Roman"/>
          <w:b w:val="0"/>
          <w:bCs w:val="0"/>
          <w:color w:val="auto"/>
          <w:sz w:val="24"/>
          <w:szCs w:val="24"/>
        </w:rPr>
      </w:sdtEndPr>
      <w:sdtContent>
        <w:p>
          <w:pPr>
            <w:pStyle w:val="33"/>
            <w:jc w:val="both"/>
            <w:rPr>
              <w:rFonts w:ascii="Times New Roman" w:hAnsi="Times New Roman" w:cs="Times New Roman"/>
              <w:color w:val="auto"/>
              <w:sz w:val="24"/>
              <w:szCs w:val="24"/>
            </w:rPr>
          </w:pPr>
          <w:r>
            <w:rPr>
              <w:rFonts w:ascii="Times New Roman" w:hAnsi="Times New Roman" w:cs="Times New Roman"/>
              <w:color w:val="auto"/>
              <w:sz w:val="24"/>
              <w:szCs w:val="24"/>
            </w:rPr>
            <w:t>Table of Contents</w:t>
          </w:r>
        </w:p>
        <w:p>
          <w:pPr>
            <w:pStyle w:val="10"/>
            <w:tabs>
              <w:tab w:val="right" w:leader="dot" w:pos="8640"/>
            </w:tabs>
            <w:rPr>
              <w:b/>
              <w:bCs/>
            </w:rPr>
          </w:pPr>
          <w:r>
            <w:rPr>
              <w:szCs w:val="24"/>
            </w:rPr>
            <w:fldChar w:fldCharType="begin"/>
          </w:r>
          <w:r>
            <w:rPr>
              <w:szCs w:val="24"/>
            </w:rPr>
            <w:instrText xml:space="preserve"> TOC \o "1-3" \h \z \u </w:instrText>
          </w:r>
          <w:r>
            <w:rPr>
              <w:szCs w:val="24"/>
            </w:rPr>
            <w:fldChar w:fldCharType="separate"/>
          </w:r>
          <w:r>
            <w:fldChar w:fldCharType="begin"/>
          </w:r>
          <w:r>
            <w:instrText xml:space="preserve"> HYPERLINK \l "_Toc11083" </w:instrText>
          </w:r>
          <w:r>
            <w:fldChar w:fldCharType="separate"/>
          </w:r>
          <w:r>
            <w:rPr>
              <w:b/>
              <w:bCs/>
              <w:szCs w:val="24"/>
            </w:rPr>
            <w:t>Approval Sheet</w:t>
          </w:r>
          <w:r>
            <w:rPr>
              <w:b/>
              <w:bCs/>
            </w:rPr>
            <w:tab/>
          </w:r>
          <w:r>
            <w:rPr>
              <w:b/>
              <w:bCs/>
            </w:rPr>
            <w:fldChar w:fldCharType="begin"/>
          </w:r>
          <w:r>
            <w:rPr>
              <w:b/>
              <w:bCs/>
            </w:rPr>
            <w:instrText xml:space="preserve"> PAGEREF _Toc11083 </w:instrText>
          </w:r>
          <w:r>
            <w:rPr>
              <w:b/>
              <w:bCs/>
            </w:rPr>
            <w:fldChar w:fldCharType="separate"/>
          </w:r>
          <w:r>
            <w:rPr>
              <w:b/>
              <w:bCs/>
            </w:rPr>
            <w:t>i</w:t>
          </w:r>
          <w:r>
            <w:rPr>
              <w:b/>
              <w:bCs/>
            </w:rPr>
            <w:fldChar w:fldCharType="end"/>
          </w:r>
          <w:r>
            <w:rPr>
              <w:b/>
              <w:bCs/>
            </w:rPr>
            <w:fldChar w:fldCharType="end"/>
          </w:r>
        </w:p>
        <w:p>
          <w:pPr>
            <w:pStyle w:val="10"/>
            <w:tabs>
              <w:tab w:val="right" w:leader="dot" w:pos="8640"/>
            </w:tabs>
            <w:rPr>
              <w:b/>
              <w:bCs/>
            </w:rPr>
          </w:pPr>
          <w:r>
            <w:fldChar w:fldCharType="begin"/>
          </w:r>
          <w:r>
            <w:instrText xml:space="preserve"> HYPERLINK \l "_Toc3303" </w:instrText>
          </w:r>
          <w:r>
            <w:fldChar w:fldCharType="separate"/>
          </w:r>
          <w:r>
            <w:rPr>
              <w:rFonts w:eastAsia="SimSun"/>
              <w:b/>
              <w:bCs/>
              <w:szCs w:val="24"/>
            </w:rPr>
            <w:t>DECLARATION</w:t>
          </w:r>
          <w:r>
            <w:rPr>
              <w:b/>
              <w:bCs/>
            </w:rPr>
            <w:tab/>
          </w:r>
          <w:r>
            <w:rPr>
              <w:b/>
              <w:bCs/>
            </w:rPr>
            <w:fldChar w:fldCharType="begin"/>
          </w:r>
          <w:r>
            <w:rPr>
              <w:b/>
              <w:bCs/>
            </w:rPr>
            <w:instrText xml:space="preserve"> PAGEREF _Toc3303 </w:instrText>
          </w:r>
          <w:r>
            <w:rPr>
              <w:b/>
              <w:bCs/>
            </w:rPr>
            <w:fldChar w:fldCharType="separate"/>
          </w:r>
          <w:r>
            <w:rPr>
              <w:b/>
              <w:bCs/>
            </w:rPr>
            <w:t>ii</w:t>
          </w:r>
          <w:r>
            <w:rPr>
              <w:b/>
              <w:bCs/>
            </w:rPr>
            <w:fldChar w:fldCharType="end"/>
          </w:r>
          <w:r>
            <w:rPr>
              <w:b/>
              <w:bCs/>
            </w:rPr>
            <w:fldChar w:fldCharType="end"/>
          </w:r>
        </w:p>
        <w:p>
          <w:pPr>
            <w:pStyle w:val="10"/>
            <w:tabs>
              <w:tab w:val="right" w:leader="dot" w:pos="8640"/>
            </w:tabs>
            <w:rPr>
              <w:b/>
              <w:bCs/>
            </w:rPr>
          </w:pPr>
          <w:r>
            <w:fldChar w:fldCharType="begin"/>
          </w:r>
          <w:r>
            <w:instrText xml:space="preserve"> HYPERLINK \l "_Toc795" </w:instrText>
          </w:r>
          <w:r>
            <w:fldChar w:fldCharType="separate"/>
          </w:r>
          <w:r>
            <w:rPr>
              <w:b/>
              <w:bCs/>
              <w:szCs w:val="24"/>
            </w:rPr>
            <w:t>Acknowledgement</w:t>
          </w:r>
          <w:r>
            <w:rPr>
              <w:b/>
              <w:bCs/>
            </w:rPr>
            <w:tab/>
          </w:r>
          <w:r>
            <w:rPr>
              <w:b/>
              <w:bCs/>
            </w:rPr>
            <w:fldChar w:fldCharType="begin"/>
          </w:r>
          <w:r>
            <w:rPr>
              <w:b/>
              <w:bCs/>
            </w:rPr>
            <w:instrText xml:space="preserve"> PAGEREF _Toc795 </w:instrText>
          </w:r>
          <w:r>
            <w:rPr>
              <w:b/>
              <w:bCs/>
            </w:rPr>
            <w:fldChar w:fldCharType="separate"/>
          </w:r>
          <w:r>
            <w:rPr>
              <w:b/>
              <w:bCs/>
            </w:rPr>
            <w:t>iii</w:t>
          </w:r>
          <w:r>
            <w:rPr>
              <w:b/>
              <w:bCs/>
            </w:rPr>
            <w:fldChar w:fldCharType="end"/>
          </w:r>
          <w:r>
            <w:rPr>
              <w:b/>
              <w:bCs/>
            </w:rPr>
            <w:fldChar w:fldCharType="end"/>
          </w:r>
        </w:p>
        <w:p>
          <w:pPr>
            <w:pStyle w:val="10"/>
            <w:tabs>
              <w:tab w:val="right" w:leader="dot" w:pos="8640"/>
            </w:tabs>
            <w:rPr>
              <w:b/>
              <w:bCs/>
            </w:rPr>
          </w:pPr>
          <w:r>
            <w:fldChar w:fldCharType="begin"/>
          </w:r>
          <w:r>
            <w:instrText xml:space="preserve"> HYPERLINK \l "_Toc23832" </w:instrText>
          </w:r>
          <w:r>
            <w:fldChar w:fldCharType="separate"/>
          </w:r>
          <w:r>
            <w:rPr>
              <w:b/>
              <w:bCs/>
              <w:szCs w:val="24"/>
            </w:rPr>
            <w:t>List of Abbreviations</w:t>
          </w:r>
          <w:r>
            <w:rPr>
              <w:b/>
              <w:bCs/>
            </w:rPr>
            <w:tab/>
          </w:r>
          <w:r>
            <w:rPr>
              <w:b/>
              <w:bCs/>
            </w:rPr>
            <w:fldChar w:fldCharType="begin"/>
          </w:r>
          <w:r>
            <w:rPr>
              <w:b/>
              <w:bCs/>
            </w:rPr>
            <w:instrText xml:space="preserve"> PAGEREF _Toc23832 </w:instrText>
          </w:r>
          <w:r>
            <w:rPr>
              <w:b/>
              <w:bCs/>
            </w:rPr>
            <w:fldChar w:fldCharType="separate"/>
          </w:r>
          <w:r>
            <w:rPr>
              <w:b/>
              <w:bCs/>
            </w:rPr>
            <w:t>vii</w:t>
          </w:r>
          <w:r>
            <w:rPr>
              <w:b/>
              <w:bCs/>
            </w:rPr>
            <w:fldChar w:fldCharType="end"/>
          </w:r>
          <w:r>
            <w:rPr>
              <w:b/>
              <w:bCs/>
            </w:rPr>
            <w:fldChar w:fldCharType="end"/>
          </w:r>
        </w:p>
        <w:p>
          <w:pPr>
            <w:pStyle w:val="10"/>
            <w:tabs>
              <w:tab w:val="right" w:leader="dot" w:pos="8640"/>
            </w:tabs>
            <w:rPr>
              <w:b/>
              <w:bCs/>
            </w:rPr>
          </w:pPr>
          <w:r>
            <w:fldChar w:fldCharType="begin"/>
          </w:r>
          <w:r>
            <w:instrText xml:space="preserve"> HYPERLINK \l "_Toc12358" </w:instrText>
          </w:r>
          <w:r>
            <w:fldChar w:fldCharType="separate"/>
          </w:r>
          <w:r>
            <w:rPr>
              <w:b/>
              <w:bCs/>
              <w:szCs w:val="24"/>
            </w:rPr>
            <w:t>List of figures</w:t>
          </w:r>
          <w:r>
            <w:rPr>
              <w:b/>
              <w:bCs/>
            </w:rPr>
            <w:tab/>
          </w:r>
          <w:r>
            <w:rPr>
              <w:b/>
              <w:bCs/>
            </w:rPr>
            <w:fldChar w:fldCharType="begin"/>
          </w:r>
          <w:r>
            <w:rPr>
              <w:b/>
              <w:bCs/>
            </w:rPr>
            <w:instrText xml:space="preserve"> PAGEREF _Toc12358 </w:instrText>
          </w:r>
          <w:r>
            <w:rPr>
              <w:b/>
              <w:bCs/>
            </w:rPr>
            <w:fldChar w:fldCharType="separate"/>
          </w:r>
          <w:r>
            <w:rPr>
              <w:b/>
              <w:bCs/>
            </w:rPr>
            <w:t>viii</w:t>
          </w:r>
          <w:r>
            <w:rPr>
              <w:b/>
              <w:bCs/>
            </w:rPr>
            <w:fldChar w:fldCharType="end"/>
          </w:r>
          <w:r>
            <w:rPr>
              <w:b/>
              <w:bCs/>
            </w:rPr>
            <w:fldChar w:fldCharType="end"/>
          </w:r>
        </w:p>
        <w:p>
          <w:pPr>
            <w:pStyle w:val="10"/>
            <w:tabs>
              <w:tab w:val="right" w:leader="dot" w:pos="8640"/>
            </w:tabs>
            <w:rPr>
              <w:b/>
              <w:bCs/>
            </w:rPr>
          </w:pPr>
          <w:r>
            <w:fldChar w:fldCharType="begin"/>
          </w:r>
          <w:r>
            <w:instrText xml:space="preserve"> HYPERLINK \l "_Toc15109" </w:instrText>
          </w:r>
          <w:r>
            <w:fldChar w:fldCharType="separate"/>
          </w:r>
          <w:r>
            <w:rPr>
              <w:b/>
              <w:bCs/>
              <w:szCs w:val="24"/>
            </w:rPr>
            <w:t>List of Tables</w:t>
          </w:r>
          <w:r>
            <w:rPr>
              <w:b/>
              <w:bCs/>
            </w:rPr>
            <w:tab/>
          </w:r>
          <w:r>
            <w:rPr>
              <w:b/>
              <w:bCs/>
            </w:rPr>
            <w:fldChar w:fldCharType="begin"/>
          </w:r>
          <w:r>
            <w:rPr>
              <w:b/>
              <w:bCs/>
            </w:rPr>
            <w:instrText xml:space="preserve"> PAGEREF _Toc15109 </w:instrText>
          </w:r>
          <w:r>
            <w:rPr>
              <w:b/>
              <w:bCs/>
            </w:rPr>
            <w:fldChar w:fldCharType="separate"/>
          </w:r>
          <w:r>
            <w:rPr>
              <w:b/>
              <w:bCs/>
            </w:rPr>
            <w:t>ix</w:t>
          </w:r>
          <w:r>
            <w:rPr>
              <w:b/>
              <w:bCs/>
            </w:rPr>
            <w:fldChar w:fldCharType="end"/>
          </w:r>
          <w:r>
            <w:rPr>
              <w:b/>
              <w:bCs/>
            </w:rPr>
            <w:fldChar w:fldCharType="end"/>
          </w:r>
        </w:p>
        <w:p>
          <w:pPr>
            <w:pStyle w:val="10"/>
            <w:tabs>
              <w:tab w:val="right" w:leader="dot" w:pos="8640"/>
            </w:tabs>
            <w:rPr>
              <w:b/>
              <w:bCs/>
            </w:rPr>
          </w:pPr>
          <w:r>
            <w:fldChar w:fldCharType="begin"/>
          </w:r>
          <w:r>
            <w:instrText xml:space="preserve"> HYPERLINK \l "_Toc3165" </w:instrText>
          </w:r>
          <w:r>
            <w:fldChar w:fldCharType="separate"/>
          </w:r>
          <w:r>
            <w:rPr>
              <w:b/>
              <w:bCs/>
              <w:szCs w:val="24"/>
            </w:rPr>
            <w:t>ABSTRACT</w:t>
          </w:r>
          <w:r>
            <w:rPr>
              <w:b/>
              <w:bCs/>
            </w:rPr>
            <w:tab/>
          </w:r>
          <w:r>
            <w:rPr>
              <w:b/>
              <w:bCs/>
            </w:rPr>
            <w:fldChar w:fldCharType="begin"/>
          </w:r>
          <w:r>
            <w:rPr>
              <w:b/>
              <w:bCs/>
            </w:rPr>
            <w:instrText xml:space="preserve"> PAGEREF _Toc3165 </w:instrText>
          </w:r>
          <w:r>
            <w:rPr>
              <w:b/>
              <w:bCs/>
            </w:rPr>
            <w:fldChar w:fldCharType="separate"/>
          </w:r>
          <w:r>
            <w:rPr>
              <w:b/>
              <w:bCs/>
            </w:rPr>
            <w:t>x</w:t>
          </w:r>
          <w:r>
            <w:rPr>
              <w:b/>
              <w:bCs/>
            </w:rPr>
            <w:fldChar w:fldCharType="end"/>
          </w:r>
          <w:r>
            <w:rPr>
              <w:b/>
              <w:bCs/>
            </w:rPr>
            <w:fldChar w:fldCharType="end"/>
          </w:r>
        </w:p>
        <w:p>
          <w:pPr>
            <w:pStyle w:val="10"/>
            <w:tabs>
              <w:tab w:val="right" w:leader="dot" w:pos="8640"/>
            </w:tabs>
          </w:pPr>
          <w:r>
            <w:fldChar w:fldCharType="begin"/>
          </w:r>
          <w:r>
            <w:instrText xml:space="preserve"> HYPERLINK \l "_Toc12747" </w:instrText>
          </w:r>
          <w:r>
            <w:fldChar w:fldCharType="separate"/>
          </w:r>
          <w:r>
            <w:rPr>
              <w:b/>
              <w:bCs/>
            </w:rPr>
            <w:t>1.  INTRODUCTION</w:t>
          </w:r>
          <w:r>
            <w:rPr>
              <w:b/>
              <w:bCs/>
            </w:rPr>
            <w:tab/>
          </w:r>
          <w:r>
            <w:rPr>
              <w:b/>
              <w:bCs/>
            </w:rPr>
            <w:fldChar w:fldCharType="begin"/>
          </w:r>
          <w:r>
            <w:rPr>
              <w:b/>
              <w:bCs/>
            </w:rPr>
            <w:instrText xml:space="preserve"> PAGEREF _Toc12747 </w:instrText>
          </w:r>
          <w:r>
            <w:rPr>
              <w:b/>
              <w:bCs/>
            </w:rPr>
            <w:fldChar w:fldCharType="separate"/>
          </w:r>
          <w:r>
            <w:rPr>
              <w:b/>
              <w:bCs/>
            </w:rPr>
            <w:t>1</w:t>
          </w:r>
          <w:r>
            <w:rPr>
              <w:b/>
              <w:bCs/>
            </w:rPr>
            <w:fldChar w:fldCharType="end"/>
          </w:r>
          <w:r>
            <w:rPr>
              <w:b/>
              <w:bCs/>
            </w:rPr>
            <w:fldChar w:fldCharType="end"/>
          </w:r>
        </w:p>
        <w:p>
          <w:pPr>
            <w:pStyle w:val="11"/>
            <w:tabs>
              <w:tab w:val="right" w:leader="dot" w:pos="8640"/>
            </w:tabs>
          </w:pPr>
          <w:r>
            <w:fldChar w:fldCharType="begin"/>
          </w:r>
          <w:r>
            <w:instrText xml:space="preserve"> HYPERLINK \l "_Toc3232" </w:instrText>
          </w:r>
          <w:r>
            <w:fldChar w:fldCharType="separate"/>
          </w:r>
          <w:r>
            <w:rPr>
              <w:szCs w:val="24"/>
            </w:rPr>
            <w:t>1.1 Background of the study</w:t>
          </w:r>
          <w:r>
            <w:tab/>
          </w:r>
          <w:r>
            <w:fldChar w:fldCharType="begin"/>
          </w:r>
          <w:r>
            <w:instrText xml:space="preserve"> PAGEREF _Toc3232 </w:instrText>
          </w:r>
          <w:r>
            <w:fldChar w:fldCharType="separate"/>
          </w:r>
          <w:r>
            <w:t>1</w:t>
          </w:r>
          <w:r>
            <w:fldChar w:fldCharType="end"/>
          </w:r>
          <w:r>
            <w:fldChar w:fldCharType="end"/>
          </w:r>
        </w:p>
        <w:p>
          <w:pPr>
            <w:pStyle w:val="10"/>
            <w:tabs>
              <w:tab w:val="right" w:leader="dot" w:pos="8640"/>
            </w:tabs>
          </w:pPr>
          <w:r>
            <w:fldChar w:fldCharType="begin"/>
          </w:r>
          <w:r>
            <w:instrText xml:space="preserve"> HYPERLINK \l "_Toc26227" </w:instrText>
          </w:r>
          <w:r>
            <w:fldChar w:fldCharType="separate"/>
          </w:r>
          <w:r>
            <w:rPr>
              <w:bCs/>
              <w:szCs w:val="24"/>
            </w:rPr>
            <w:t>1.2 Statement of the problem</w:t>
          </w:r>
          <w:r>
            <w:tab/>
          </w:r>
          <w:r>
            <w:fldChar w:fldCharType="begin"/>
          </w:r>
          <w:r>
            <w:instrText xml:space="preserve"> PAGEREF _Toc26227 </w:instrText>
          </w:r>
          <w:r>
            <w:fldChar w:fldCharType="separate"/>
          </w:r>
          <w:r>
            <w:t>2</w:t>
          </w:r>
          <w:r>
            <w:fldChar w:fldCharType="end"/>
          </w:r>
          <w:r>
            <w:fldChar w:fldCharType="end"/>
          </w:r>
        </w:p>
        <w:p>
          <w:pPr>
            <w:pStyle w:val="11"/>
            <w:tabs>
              <w:tab w:val="right" w:leader="dot" w:pos="8640"/>
            </w:tabs>
          </w:pPr>
          <w:r>
            <w:fldChar w:fldCharType="begin"/>
          </w:r>
          <w:r>
            <w:instrText xml:space="preserve"> HYPERLINK \l "_Toc30450" </w:instrText>
          </w:r>
          <w:r>
            <w:fldChar w:fldCharType="separate"/>
          </w:r>
          <w:r>
            <w:rPr>
              <w:bCs/>
              <w:szCs w:val="24"/>
            </w:rPr>
            <w:t>1. 3 Objectives of the study</w:t>
          </w:r>
          <w:r>
            <w:tab/>
          </w:r>
          <w:r>
            <w:fldChar w:fldCharType="begin"/>
          </w:r>
          <w:r>
            <w:instrText xml:space="preserve"> PAGEREF _Toc30450 </w:instrText>
          </w:r>
          <w:r>
            <w:fldChar w:fldCharType="separate"/>
          </w:r>
          <w:r>
            <w:t>3</w:t>
          </w:r>
          <w:r>
            <w:fldChar w:fldCharType="end"/>
          </w:r>
          <w:r>
            <w:fldChar w:fldCharType="end"/>
          </w:r>
        </w:p>
        <w:p>
          <w:pPr>
            <w:pStyle w:val="12"/>
            <w:tabs>
              <w:tab w:val="right" w:leader="dot" w:pos="8640"/>
            </w:tabs>
          </w:pPr>
          <w:r>
            <w:fldChar w:fldCharType="begin"/>
          </w:r>
          <w:r>
            <w:instrText xml:space="preserve"> HYPERLINK \l "_Toc5308" </w:instrText>
          </w:r>
          <w:r>
            <w:fldChar w:fldCharType="separate"/>
          </w:r>
          <w:r>
            <w:rPr>
              <w:szCs w:val="24"/>
            </w:rPr>
            <w:t>1.3.1 General Objectives</w:t>
          </w:r>
          <w:r>
            <w:tab/>
          </w:r>
          <w:r>
            <w:fldChar w:fldCharType="begin"/>
          </w:r>
          <w:r>
            <w:instrText xml:space="preserve"> PAGEREF _Toc5308 </w:instrText>
          </w:r>
          <w:r>
            <w:fldChar w:fldCharType="separate"/>
          </w:r>
          <w:r>
            <w:t>3</w:t>
          </w:r>
          <w:r>
            <w:fldChar w:fldCharType="end"/>
          </w:r>
          <w:r>
            <w:fldChar w:fldCharType="end"/>
          </w:r>
        </w:p>
        <w:p>
          <w:pPr>
            <w:pStyle w:val="12"/>
            <w:tabs>
              <w:tab w:val="right" w:leader="dot" w:pos="8640"/>
            </w:tabs>
          </w:pPr>
          <w:r>
            <w:fldChar w:fldCharType="begin"/>
          </w:r>
          <w:r>
            <w:instrText xml:space="preserve"> HYPERLINK \l "_Toc4605" </w:instrText>
          </w:r>
          <w:r>
            <w:fldChar w:fldCharType="separate"/>
          </w:r>
          <w:r>
            <w:rPr>
              <w:szCs w:val="24"/>
            </w:rPr>
            <w:t>1.3.2 Specific Objectives</w:t>
          </w:r>
          <w:r>
            <w:tab/>
          </w:r>
          <w:r>
            <w:fldChar w:fldCharType="begin"/>
          </w:r>
          <w:r>
            <w:instrText xml:space="preserve"> PAGEREF _Toc4605 </w:instrText>
          </w:r>
          <w:r>
            <w:fldChar w:fldCharType="separate"/>
          </w:r>
          <w:r>
            <w:t>3</w:t>
          </w:r>
          <w:r>
            <w:fldChar w:fldCharType="end"/>
          </w:r>
          <w:r>
            <w:fldChar w:fldCharType="end"/>
          </w:r>
        </w:p>
        <w:p>
          <w:pPr>
            <w:pStyle w:val="10"/>
            <w:tabs>
              <w:tab w:val="right" w:leader="dot" w:pos="8640"/>
            </w:tabs>
          </w:pPr>
          <w:r>
            <w:fldChar w:fldCharType="begin"/>
          </w:r>
          <w:r>
            <w:instrText xml:space="preserve"> HYPERLINK \l "_Toc2323" </w:instrText>
          </w:r>
          <w:r>
            <w:fldChar w:fldCharType="separate"/>
          </w:r>
          <w:r>
            <w:rPr>
              <w:b/>
              <w:bCs/>
            </w:rPr>
            <w:t>2. LITERATURE REVIEW</w:t>
          </w:r>
          <w:r>
            <w:rPr>
              <w:b/>
              <w:bCs/>
            </w:rPr>
            <w:tab/>
          </w:r>
          <w:r>
            <w:rPr>
              <w:b/>
              <w:bCs/>
            </w:rPr>
            <w:fldChar w:fldCharType="begin"/>
          </w:r>
          <w:r>
            <w:rPr>
              <w:b/>
              <w:bCs/>
            </w:rPr>
            <w:instrText xml:space="preserve"> PAGEREF _Toc2323 </w:instrText>
          </w:r>
          <w:r>
            <w:rPr>
              <w:b/>
              <w:bCs/>
            </w:rPr>
            <w:fldChar w:fldCharType="separate"/>
          </w:r>
          <w:r>
            <w:rPr>
              <w:b/>
              <w:bCs/>
            </w:rPr>
            <w:t>4</w:t>
          </w:r>
          <w:r>
            <w:rPr>
              <w:b/>
              <w:bCs/>
            </w:rPr>
            <w:fldChar w:fldCharType="end"/>
          </w:r>
          <w:r>
            <w:rPr>
              <w:b/>
              <w:bCs/>
            </w:rPr>
            <w:fldChar w:fldCharType="end"/>
          </w:r>
        </w:p>
        <w:p>
          <w:pPr>
            <w:pStyle w:val="11"/>
            <w:tabs>
              <w:tab w:val="right" w:leader="dot" w:pos="8640"/>
            </w:tabs>
          </w:pPr>
          <w:r>
            <w:fldChar w:fldCharType="begin"/>
          </w:r>
          <w:r>
            <w:instrText xml:space="preserve"> HYPERLINK \l "_Toc16181" </w:instrText>
          </w:r>
          <w:r>
            <w:fldChar w:fldCharType="separate"/>
          </w:r>
          <w:r>
            <w:rPr>
              <w:szCs w:val="24"/>
            </w:rPr>
            <w:t xml:space="preserve">2.1 </w:t>
          </w:r>
          <w:r>
            <w:rPr>
              <w:i/>
              <w:szCs w:val="24"/>
            </w:rPr>
            <w:t>Verbascum sinaiticum</w:t>
          </w:r>
          <w:r>
            <w:rPr>
              <w:szCs w:val="24"/>
            </w:rPr>
            <w:t xml:space="preserve"> Benth  Family </w:t>
          </w:r>
          <w:r>
            <w:rPr>
              <w:i/>
              <w:szCs w:val="24"/>
            </w:rPr>
            <w:t>Scrophulariaceae</w:t>
          </w:r>
          <w:r>
            <w:tab/>
          </w:r>
          <w:r>
            <w:fldChar w:fldCharType="begin"/>
          </w:r>
          <w:r>
            <w:instrText xml:space="preserve"> PAGEREF _Toc16181 </w:instrText>
          </w:r>
          <w:r>
            <w:fldChar w:fldCharType="separate"/>
          </w:r>
          <w:r>
            <w:t>4</w:t>
          </w:r>
          <w:r>
            <w:fldChar w:fldCharType="end"/>
          </w:r>
          <w:r>
            <w:fldChar w:fldCharType="end"/>
          </w:r>
        </w:p>
        <w:p>
          <w:pPr>
            <w:pStyle w:val="11"/>
            <w:tabs>
              <w:tab w:val="right" w:leader="dot" w:pos="8640"/>
            </w:tabs>
          </w:pPr>
          <w:r>
            <w:fldChar w:fldCharType="begin"/>
          </w:r>
          <w:r>
            <w:instrText xml:space="preserve"> HYPERLINK \l "_Toc21202" </w:instrText>
          </w:r>
          <w:r>
            <w:fldChar w:fldCharType="separate"/>
          </w:r>
          <w:r>
            <w:rPr>
              <w:szCs w:val="24"/>
            </w:rPr>
            <w:t xml:space="preserve">2.2 Medicinal uses of </w:t>
          </w:r>
          <w:r>
            <w:rPr>
              <w:i/>
              <w:szCs w:val="24"/>
            </w:rPr>
            <w:t>Verbascum</w:t>
          </w:r>
          <w:r>
            <w:rPr>
              <w:szCs w:val="24"/>
            </w:rPr>
            <w:t xml:space="preserve"> species</w:t>
          </w:r>
          <w:r>
            <w:tab/>
          </w:r>
          <w:r>
            <w:fldChar w:fldCharType="begin"/>
          </w:r>
          <w:r>
            <w:instrText xml:space="preserve"> PAGEREF _Toc21202 </w:instrText>
          </w:r>
          <w:r>
            <w:fldChar w:fldCharType="separate"/>
          </w:r>
          <w:r>
            <w:t>4</w:t>
          </w:r>
          <w:r>
            <w:fldChar w:fldCharType="end"/>
          </w:r>
          <w:r>
            <w:fldChar w:fldCharType="end"/>
          </w:r>
        </w:p>
        <w:p>
          <w:pPr>
            <w:pStyle w:val="11"/>
            <w:tabs>
              <w:tab w:val="right" w:leader="dot" w:pos="8640"/>
            </w:tabs>
          </w:pPr>
          <w:r>
            <w:fldChar w:fldCharType="begin"/>
          </w:r>
          <w:r>
            <w:instrText xml:space="preserve"> HYPERLINK \l "_Toc7522" </w:instrText>
          </w:r>
          <w:r>
            <w:fldChar w:fldCharType="separate"/>
          </w:r>
          <w:r>
            <w:rPr>
              <w:szCs w:val="24"/>
            </w:rPr>
            <w:t xml:space="preserve">2.3 Biological Ativities of </w:t>
          </w:r>
          <w:r>
            <w:rPr>
              <w:i/>
              <w:iCs/>
              <w:szCs w:val="24"/>
            </w:rPr>
            <w:t>Verbascum</w:t>
          </w:r>
          <w:r>
            <w:rPr>
              <w:szCs w:val="24"/>
            </w:rPr>
            <w:t xml:space="preserve"> Species</w:t>
          </w:r>
          <w:r>
            <w:tab/>
          </w:r>
          <w:r>
            <w:fldChar w:fldCharType="begin"/>
          </w:r>
          <w:r>
            <w:instrText xml:space="preserve"> PAGEREF _Toc7522 </w:instrText>
          </w:r>
          <w:r>
            <w:fldChar w:fldCharType="separate"/>
          </w:r>
          <w:r>
            <w:t>5</w:t>
          </w:r>
          <w:r>
            <w:fldChar w:fldCharType="end"/>
          </w:r>
          <w:r>
            <w:fldChar w:fldCharType="end"/>
          </w:r>
        </w:p>
        <w:p>
          <w:pPr>
            <w:pStyle w:val="11"/>
            <w:tabs>
              <w:tab w:val="right" w:leader="dot" w:pos="8640"/>
            </w:tabs>
          </w:pPr>
          <w:r>
            <w:fldChar w:fldCharType="begin"/>
          </w:r>
          <w:r>
            <w:instrText xml:space="preserve"> HYPERLINK \l "_Toc30510" </w:instrText>
          </w:r>
          <w:r>
            <w:fldChar w:fldCharType="separate"/>
          </w:r>
          <w:r>
            <w:rPr>
              <w:szCs w:val="24"/>
            </w:rPr>
            <w:t xml:space="preserve">2.4 Compounds Isolated from </w:t>
          </w:r>
          <w:r>
            <w:rPr>
              <w:i/>
              <w:iCs/>
              <w:szCs w:val="24"/>
            </w:rPr>
            <w:t>Verbascum sinaiticum</w:t>
          </w:r>
          <w:r>
            <w:tab/>
          </w:r>
          <w:r>
            <w:fldChar w:fldCharType="begin"/>
          </w:r>
          <w:r>
            <w:instrText xml:space="preserve"> PAGEREF _Toc30510 </w:instrText>
          </w:r>
          <w:r>
            <w:fldChar w:fldCharType="separate"/>
          </w:r>
          <w:r>
            <w:t>5</w:t>
          </w:r>
          <w:r>
            <w:fldChar w:fldCharType="end"/>
          </w:r>
          <w:r>
            <w:fldChar w:fldCharType="end"/>
          </w:r>
        </w:p>
        <w:p>
          <w:pPr>
            <w:pStyle w:val="11"/>
            <w:tabs>
              <w:tab w:val="right" w:leader="dot" w:pos="8640"/>
            </w:tabs>
          </w:pPr>
          <w:r>
            <w:fldChar w:fldCharType="begin"/>
          </w:r>
          <w:r>
            <w:instrText xml:space="preserve"> HYPERLINK \l "_Toc8261" </w:instrText>
          </w:r>
          <w:r>
            <w:fldChar w:fldCharType="separate"/>
          </w:r>
          <w:r>
            <w:rPr>
              <w:szCs w:val="24"/>
            </w:rPr>
            <w:t>2.5 Antioxidant Compounds</w:t>
          </w:r>
          <w:r>
            <w:tab/>
          </w:r>
          <w:r>
            <w:fldChar w:fldCharType="begin"/>
          </w:r>
          <w:r>
            <w:instrText xml:space="preserve"> PAGEREF _Toc8261 </w:instrText>
          </w:r>
          <w:r>
            <w:fldChar w:fldCharType="separate"/>
          </w:r>
          <w:r>
            <w:t>6</w:t>
          </w:r>
          <w:r>
            <w:fldChar w:fldCharType="end"/>
          </w:r>
          <w:r>
            <w:fldChar w:fldCharType="end"/>
          </w:r>
        </w:p>
        <w:p>
          <w:pPr>
            <w:pStyle w:val="11"/>
            <w:tabs>
              <w:tab w:val="right" w:leader="dot" w:pos="8640"/>
            </w:tabs>
          </w:pPr>
          <w:r>
            <w:fldChar w:fldCharType="begin"/>
          </w:r>
          <w:r>
            <w:instrText xml:space="preserve"> HYPERLINK \l "_Toc6333" </w:instrText>
          </w:r>
          <w:r>
            <w:fldChar w:fldCharType="separate"/>
          </w:r>
          <w:r>
            <w:rPr>
              <w:szCs w:val="24"/>
            </w:rPr>
            <w:t>2.5.1 Classification of antioxidants</w:t>
          </w:r>
          <w:r>
            <w:tab/>
          </w:r>
          <w:r>
            <w:fldChar w:fldCharType="begin"/>
          </w:r>
          <w:r>
            <w:instrText xml:space="preserve"> PAGEREF _Toc6333 </w:instrText>
          </w:r>
          <w:r>
            <w:fldChar w:fldCharType="separate"/>
          </w:r>
          <w:r>
            <w:t>7</w:t>
          </w:r>
          <w:r>
            <w:fldChar w:fldCharType="end"/>
          </w:r>
          <w:r>
            <w:fldChar w:fldCharType="end"/>
          </w:r>
        </w:p>
        <w:p>
          <w:pPr>
            <w:pStyle w:val="11"/>
            <w:tabs>
              <w:tab w:val="right" w:leader="dot" w:pos="8640"/>
            </w:tabs>
          </w:pPr>
          <w:r>
            <w:fldChar w:fldCharType="begin"/>
          </w:r>
          <w:r>
            <w:instrText xml:space="preserve"> HYPERLINK \l "_Toc20113" </w:instrText>
          </w:r>
          <w:r>
            <w:fldChar w:fldCharType="separate"/>
          </w:r>
          <w:r>
            <w:rPr>
              <w:szCs w:val="24"/>
            </w:rPr>
            <w:t>2.6 Antibacterial</w:t>
          </w:r>
          <w:r>
            <w:tab/>
          </w:r>
          <w:r>
            <w:fldChar w:fldCharType="begin"/>
          </w:r>
          <w:r>
            <w:instrText xml:space="preserve"> PAGEREF _Toc20113 </w:instrText>
          </w:r>
          <w:r>
            <w:fldChar w:fldCharType="separate"/>
          </w:r>
          <w:r>
            <w:t>8</w:t>
          </w:r>
          <w:r>
            <w:fldChar w:fldCharType="end"/>
          </w:r>
          <w:r>
            <w:fldChar w:fldCharType="end"/>
          </w:r>
        </w:p>
        <w:p>
          <w:pPr>
            <w:pStyle w:val="11"/>
            <w:tabs>
              <w:tab w:val="right" w:leader="dot" w:pos="8640"/>
            </w:tabs>
          </w:pPr>
          <w:r>
            <w:fldChar w:fldCharType="begin"/>
          </w:r>
          <w:r>
            <w:instrText xml:space="preserve"> HYPERLINK \l "_Toc8206" </w:instrText>
          </w:r>
          <w:r>
            <w:fldChar w:fldCharType="separate"/>
          </w:r>
          <w:r>
            <w:rPr>
              <w:szCs w:val="24"/>
            </w:rPr>
            <w:t>2.7 Phytochemicals</w:t>
          </w:r>
          <w:r>
            <w:tab/>
          </w:r>
          <w:r>
            <w:fldChar w:fldCharType="begin"/>
          </w:r>
          <w:r>
            <w:instrText xml:space="preserve"> PAGEREF _Toc8206 </w:instrText>
          </w:r>
          <w:r>
            <w:fldChar w:fldCharType="separate"/>
          </w:r>
          <w:r>
            <w:t>8</w:t>
          </w:r>
          <w:r>
            <w:fldChar w:fldCharType="end"/>
          </w:r>
          <w:r>
            <w:fldChar w:fldCharType="end"/>
          </w:r>
        </w:p>
        <w:p>
          <w:pPr>
            <w:pStyle w:val="12"/>
            <w:tabs>
              <w:tab w:val="right" w:leader="dot" w:pos="8640"/>
            </w:tabs>
          </w:pPr>
          <w:r>
            <w:fldChar w:fldCharType="begin"/>
          </w:r>
          <w:r>
            <w:instrText xml:space="preserve"> HYPERLINK \l "_Toc8344" </w:instrText>
          </w:r>
          <w:r>
            <w:fldChar w:fldCharType="separate"/>
          </w:r>
          <w:r>
            <w:rPr>
              <w:szCs w:val="24"/>
            </w:rPr>
            <w:t>2.7.1 Alkaloids</w:t>
          </w:r>
          <w:r>
            <w:tab/>
          </w:r>
          <w:r>
            <w:fldChar w:fldCharType="begin"/>
          </w:r>
          <w:r>
            <w:instrText xml:space="preserve"> PAGEREF _Toc8344 </w:instrText>
          </w:r>
          <w:r>
            <w:fldChar w:fldCharType="separate"/>
          </w:r>
          <w:r>
            <w:t>8</w:t>
          </w:r>
          <w:r>
            <w:fldChar w:fldCharType="end"/>
          </w:r>
          <w:r>
            <w:fldChar w:fldCharType="end"/>
          </w:r>
        </w:p>
        <w:p>
          <w:pPr>
            <w:pStyle w:val="12"/>
            <w:tabs>
              <w:tab w:val="right" w:leader="dot" w:pos="8640"/>
            </w:tabs>
          </w:pPr>
          <w:r>
            <w:fldChar w:fldCharType="begin"/>
          </w:r>
          <w:r>
            <w:instrText xml:space="preserve"> HYPERLINK \l "_Toc5676" </w:instrText>
          </w:r>
          <w:r>
            <w:fldChar w:fldCharType="separate"/>
          </w:r>
          <w:r>
            <w:rPr>
              <w:szCs w:val="24"/>
            </w:rPr>
            <w:t>2.7.2 Glycosides</w:t>
          </w:r>
          <w:r>
            <w:tab/>
          </w:r>
          <w:r>
            <w:fldChar w:fldCharType="begin"/>
          </w:r>
          <w:r>
            <w:instrText xml:space="preserve"> PAGEREF _Toc5676 </w:instrText>
          </w:r>
          <w:r>
            <w:fldChar w:fldCharType="separate"/>
          </w:r>
          <w:r>
            <w:t>9</w:t>
          </w:r>
          <w:r>
            <w:fldChar w:fldCharType="end"/>
          </w:r>
          <w:r>
            <w:fldChar w:fldCharType="end"/>
          </w:r>
        </w:p>
        <w:p>
          <w:pPr>
            <w:pStyle w:val="12"/>
            <w:tabs>
              <w:tab w:val="right" w:leader="dot" w:pos="8640"/>
            </w:tabs>
          </w:pPr>
          <w:r>
            <w:fldChar w:fldCharType="begin"/>
          </w:r>
          <w:r>
            <w:instrText xml:space="preserve"> HYPERLINK \l "_Toc3405" </w:instrText>
          </w:r>
          <w:r>
            <w:fldChar w:fldCharType="separate"/>
          </w:r>
          <w:r>
            <w:rPr>
              <w:szCs w:val="24"/>
            </w:rPr>
            <w:t>2.7.3 Flavonoids</w:t>
          </w:r>
          <w:r>
            <w:tab/>
          </w:r>
          <w:r>
            <w:fldChar w:fldCharType="begin"/>
          </w:r>
          <w:r>
            <w:instrText xml:space="preserve"> PAGEREF _Toc3405 </w:instrText>
          </w:r>
          <w:r>
            <w:fldChar w:fldCharType="separate"/>
          </w:r>
          <w:r>
            <w:t>9</w:t>
          </w:r>
          <w:r>
            <w:fldChar w:fldCharType="end"/>
          </w:r>
          <w:r>
            <w:fldChar w:fldCharType="end"/>
          </w:r>
        </w:p>
        <w:p>
          <w:pPr>
            <w:pStyle w:val="12"/>
            <w:tabs>
              <w:tab w:val="right" w:leader="dot" w:pos="8640"/>
            </w:tabs>
          </w:pPr>
          <w:r>
            <w:fldChar w:fldCharType="begin"/>
          </w:r>
          <w:r>
            <w:instrText xml:space="preserve"> HYPERLINK \l "_Toc10238" </w:instrText>
          </w:r>
          <w:r>
            <w:fldChar w:fldCharType="separate"/>
          </w:r>
          <w:r>
            <w:rPr>
              <w:szCs w:val="24"/>
            </w:rPr>
            <w:t>2.7.4 Phenolics</w:t>
          </w:r>
          <w:r>
            <w:tab/>
          </w:r>
          <w:r>
            <w:fldChar w:fldCharType="begin"/>
          </w:r>
          <w:r>
            <w:instrText xml:space="preserve"> PAGEREF _Toc10238 </w:instrText>
          </w:r>
          <w:r>
            <w:fldChar w:fldCharType="separate"/>
          </w:r>
          <w:r>
            <w:t>9</w:t>
          </w:r>
          <w:r>
            <w:fldChar w:fldCharType="end"/>
          </w:r>
          <w:r>
            <w:fldChar w:fldCharType="end"/>
          </w:r>
        </w:p>
        <w:p>
          <w:pPr>
            <w:pStyle w:val="12"/>
            <w:tabs>
              <w:tab w:val="right" w:leader="dot" w:pos="8640"/>
            </w:tabs>
          </w:pPr>
          <w:r>
            <w:fldChar w:fldCharType="begin"/>
          </w:r>
          <w:r>
            <w:instrText xml:space="preserve"> HYPERLINK \l "_Toc156" </w:instrText>
          </w:r>
          <w:r>
            <w:fldChar w:fldCharType="separate"/>
          </w:r>
          <w:r>
            <w:rPr>
              <w:szCs w:val="24"/>
            </w:rPr>
            <w:t>2.7.5 Saponins</w:t>
          </w:r>
          <w:r>
            <w:tab/>
          </w:r>
          <w:r>
            <w:fldChar w:fldCharType="begin"/>
          </w:r>
          <w:r>
            <w:instrText xml:space="preserve"> PAGEREF _Toc156 </w:instrText>
          </w:r>
          <w:r>
            <w:fldChar w:fldCharType="separate"/>
          </w:r>
          <w:r>
            <w:t>10</w:t>
          </w:r>
          <w:r>
            <w:fldChar w:fldCharType="end"/>
          </w:r>
          <w:r>
            <w:fldChar w:fldCharType="end"/>
          </w:r>
        </w:p>
        <w:p>
          <w:pPr>
            <w:pStyle w:val="10"/>
            <w:tabs>
              <w:tab w:val="right" w:leader="dot" w:pos="8640"/>
            </w:tabs>
          </w:pPr>
          <w:r>
            <w:fldChar w:fldCharType="begin"/>
          </w:r>
          <w:r>
            <w:instrText xml:space="preserve"> HYPERLINK \l "_Toc16867" </w:instrText>
          </w:r>
          <w:r>
            <w:fldChar w:fldCharType="separate"/>
          </w:r>
          <w:r>
            <w:t>3.</w:t>
          </w:r>
          <w:r>
            <w:rPr>
              <w:b/>
              <w:bCs/>
            </w:rPr>
            <w:t xml:space="preserve"> MATERIALS AND METHODS</w:t>
          </w:r>
          <w:r>
            <w:rPr>
              <w:b/>
              <w:bCs/>
            </w:rPr>
            <w:tab/>
          </w:r>
          <w:r>
            <w:rPr>
              <w:b/>
              <w:bCs/>
            </w:rPr>
            <w:fldChar w:fldCharType="begin"/>
          </w:r>
          <w:r>
            <w:rPr>
              <w:b/>
              <w:bCs/>
            </w:rPr>
            <w:instrText xml:space="preserve"> PAGEREF _Toc16867 </w:instrText>
          </w:r>
          <w:r>
            <w:rPr>
              <w:b/>
              <w:bCs/>
            </w:rPr>
            <w:fldChar w:fldCharType="separate"/>
          </w:r>
          <w:r>
            <w:rPr>
              <w:b/>
              <w:bCs/>
            </w:rPr>
            <w:t>12</w:t>
          </w:r>
          <w:r>
            <w:rPr>
              <w:b/>
              <w:bCs/>
            </w:rPr>
            <w:fldChar w:fldCharType="end"/>
          </w:r>
          <w:r>
            <w:rPr>
              <w:b/>
              <w:bCs/>
            </w:rPr>
            <w:fldChar w:fldCharType="end"/>
          </w:r>
        </w:p>
        <w:p>
          <w:pPr>
            <w:pStyle w:val="11"/>
            <w:tabs>
              <w:tab w:val="right" w:leader="dot" w:pos="8640"/>
            </w:tabs>
          </w:pPr>
          <w:r>
            <w:fldChar w:fldCharType="begin"/>
          </w:r>
          <w:r>
            <w:instrText xml:space="preserve"> HYPERLINK \l "_Toc3355" </w:instrText>
          </w:r>
          <w:r>
            <w:fldChar w:fldCharType="separate"/>
          </w:r>
          <w:r>
            <w:rPr>
              <w:szCs w:val="24"/>
            </w:rPr>
            <w:t>3.1 Plant Material</w:t>
          </w:r>
          <w:r>
            <w:tab/>
          </w:r>
          <w:r>
            <w:fldChar w:fldCharType="begin"/>
          </w:r>
          <w:r>
            <w:instrText xml:space="preserve"> PAGEREF _Toc3355 </w:instrText>
          </w:r>
          <w:r>
            <w:fldChar w:fldCharType="separate"/>
          </w:r>
          <w:r>
            <w:t>12</w:t>
          </w:r>
          <w:r>
            <w:fldChar w:fldCharType="end"/>
          </w:r>
          <w:r>
            <w:fldChar w:fldCharType="end"/>
          </w:r>
        </w:p>
        <w:p>
          <w:pPr>
            <w:pStyle w:val="11"/>
            <w:tabs>
              <w:tab w:val="right" w:leader="dot" w:pos="8640"/>
            </w:tabs>
          </w:pPr>
          <w:r>
            <w:fldChar w:fldCharType="begin"/>
          </w:r>
          <w:r>
            <w:instrText xml:space="preserve"> HYPERLINK \l "_Toc27903" </w:instrText>
          </w:r>
          <w:r>
            <w:fldChar w:fldCharType="separate"/>
          </w:r>
          <w:r>
            <w:rPr>
              <w:szCs w:val="24"/>
            </w:rPr>
            <w:t>3.2 Extraction</w:t>
          </w:r>
          <w:r>
            <w:tab/>
          </w:r>
          <w:r>
            <w:fldChar w:fldCharType="begin"/>
          </w:r>
          <w:r>
            <w:instrText xml:space="preserve"> PAGEREF _Toc27903 </w:instrText>
          </w:r>
          <w:r>
            <w:fldChar w:fldCharType="separate"/>
          </w:r>
          <w:r>
            <w:t>12</w:t>
          </w:r>
          <w:r>
            <w:fldChar w:fldCharType="end"/>
          </w:r>
          <w:r>
            <w:fldChar w:fldCharType="end"/>
          </w:r>
        </w:p>
        <w:p>
          <w:pPr>
            <w:pStyle w:val="11"/>
            <w:tabs>
              <w:tab w:val="right" w:leader="dot" w:pos="8640"/>
            </w:tabs>
          </w:pPr>
          <w:r>
            <w:fldChar w:fldCharType="begin"/>
          </w:r>
          <w:r>
            <w:instrText xml:space="preserve"> HYPERLINK \l "_Toc31902" </w:instrText>
          </w:r>
          <w:r>
            <w:fldChar w:fldCharType="separate"/>
          </w:r>
          <w:r>
            <w:rPr>
              <w:szCs w:val="24"/>
            </w:rPr>
            <w:t>3.3 Extract Dilution Preparation</w:t>
          </w:r>
          <w:r>
            <w:tab/>
          </w:r>
          <w:r>
            <w:fldChar w:fldCharType="begin"/>
          </w:r>
          <w:r>
            <w:instrText xml:space="preserve"> PAGEREF _Toc31902 </w:instrText>
          </w:r>
          <w:r>
            <w:fldChar w:fldCharType="separate"/>
          </w:r>
          <w:r>
            <w:t>12</w:t>
          </w:r>
          <w:r>
            <w:fldChar w:fldCharType="end"/>
          </w:r>
          <w:r>
            <w:fldChar w:fldCharType="end"/>
          </w:r>
        </w:p>
        <w:p>
          <w:pPr>
            <w:pStyle w:val="11"/>
            <w:tabs>
              <w:tab w:val="right" w:leader="dot" w:pos="8640"/>
            </w:tabs>
          </w:pPr>
          <w:r>
            <w:fldChar w:fldCharType="begin"/>
          </w:r>
          <w:r>
            <w:instrText xml:space="preserve"> HYPERLINK \l "_Toc9229" </w:instrText>
          </w:r>
          <w:r>
            <w:fldChar w:fldCharType="separate"/>
          </w:r>
          <w:r>
            <w:rPr>
              <w:szCs w:val="24"/>
            </w:rPr>
            <w:t>3.4 Chemicals and Reagents</w:t>
          </w:r>
          <w:r>
            <w:tab/>
          </w:r>
          <w:r>
            <w:fldChar w:fldCharType="begin"/>
          </w:r>
          <w:r>
            <w:instrText xml:space="preserve"> PAGEREF _Toc9229 </w:instrText>
          </w:r>
          <w:r>
            <w:fldChar w:fldCharType="separate"/>
          </w:r>
          <w:r>
            <w:t>12</w:t>
          </w:r>
          <w:r>
            <w:fldChar w:fldCharType="end"/>
          </w:r>
          <w:r>
            <w:fldChar w:fldCharType="end"/>
          </w:r>
        </w:p>
        <w:p>
          <w:pPr>
            <w:pStyle w:val="11"/>
            <w:tabs>
              <w:tab w:val="right" w:leader="dot" w:pos="8640"/>
            </w:tabs>
          </w:pPr>
          <w:r>
            <w:fldChar w:fldCharType="begin"/>
          </w:r>
          <w:r>
            <w:instrText xml:space="preserve"> HYPERLINK \l "_Toc15942" </w:instrText>
          </w:r>
          <w:r>
            <w:fldChar w:fldCharType="separate"/>
          </w:r>
          <w:r>
            <w:rPr>
              <w:szCs w:val="24"/>
            </w:rPr>
            <w:t>3.5 Apparatus</w:t>
          </w:r>
          <w:r>
            <w:tab/>
          </w:r>
          <w:r>
            <w:fldChar w:fldCharType="begin"/>
          </w:r>
          <w:r>
            <w:instrText xml:space="preserve"> PAGEREF _Toc15942 </w:instrText>
          </w:r>
          <w:r>
            <w:fldChar w:fldCharType="separate"/>
          </w:r>
          <w:r>
            <w:t>13</w:t>
          </w:r>
          <w:r>
            <w:fldChar w:fldCharType="end"/>
          </w:r>
          <w:r>
            <w:fldChar w:fldCharType="end"/>
          </w:r>
        </w:p>
        <w:p>
          <w:pPr>
            <w:pStyle w:val="11"/>
            <w:tabs>
              <w:tab w:val="right" w:leader="dot" w:pos="8640"/>
            </w:tabs>
          </w:pPr>
          <w:r>
            <w:fldChar w:fldCharType="begin"/>
          </w:r>
          <w:r>
            <w:instrText xml:space="preserve"> HYPERLINK \l "_Toc17340" </w:instrText>
          </w:r>
          <w:r>
            <w:fldChar w:fldCharType="separate"/>
          </w:r>
          <w:r>
            <w:rPr>
              <w:szCs w:val="24"/>
            </w:rPr>
            <w:t xml:space="preserve">3.6 Screening the antibacterial activity of methanolic and chloroform extracts of </w:t>
          </w:r>
          <w:r>
            <w:rPr>
              <w:i/>
              <w:szCs w:val="24"/>
            </w:rPr>
            <w:t>V. sinaiticum</w:t>
          </w:r>
          <w:r>
            <w:tab/>
          </w:r>
          <w:r>
            <w:fldChar w:fldCharType="begin"/>
          </w:r>
          <w:r>
            <w:instrText xml:space="preserve"> PAGEREF _Toc17340 </w:instrText>
          </w:r>
          <w:r>
            <w:fldChar w:fldCharType="separate"/>
          </w:r>
          <w:r>
            <w:t>13</w:t>
          </w:r>
          <w:r>
            <w:fldChar w:fldCharType="end"/>
          </w:r>
          <w:r>
            <w:fldChar w:fldCharType="end"/>
          </w:r>
        </w:p>
        <w:p>
          <w:pPr>
            <w:pStyle w:val="11"/>
            <w:tabs>
              <w:tab w:val="right" w:leader="dot" w:pos="8640"/>
            </w:tabs>
          </w:pPr>
          <w:r>
            <w:fldChar w:fldCharType="begin"/>
          </w:r>
          <w:r>
            <w:instrText xml:space="preserve"> HYPERLINK \l "_Toc26092" </w:instrText>
          </w:r>
          <w:r>
            <w:fldChar w:fldCharType="separate"/>
          </w:r>
          <w:r>
            <w:rPr>
              <w:szCs w:val="24"/>
            </w:rPr>
            <w:t>3.7 Determination of the antioxidant activity by the DPPH assay</w:t>
          </w:r>
          <w:r>
            <w:tab/>
          </w:r>
          <w:r>
            <w:fldChar w:fldCharType="begin"/>
          </w:r>
          <w:r>
            <w:instrText xml:space="preserve"> PAGEREF _Toc26092 </w:instrText>
          </w:r>
          <w:r>
            <w:fldChar w:fldCharType="separate"/>
          </w:r>
          <w:r>
            <w:t>13</w:t>
          </w:r>
          <w:r>
            <w:fldChar w:fldCharType="end"/>
          </w:r>
          <w:r>
            <w:fldChar w:fldCharType="end"/>
          </w:r>
        </w:p>
        <w:p>
          <w:pPr>
            <w:pStyle w:val="11"/>
            <w:tabs>
              <w:tab w:val="right" w:leader="dot" w:pos="8640"/>
            </w:tabs>
          </w:pPr>
          <w:r>
            <w:fldChar w:fldCharType="begin"/>
          </w:r>
          <w:r>
            <w:instrText xml:space="preserve"> HYPERLINK \l "_Toc6868" </w:instrText>
          </w:r>
          <w:r>
            <w:fldChar w:fldCharType="separate"/>
          </w:r>
          <w:r>
            <w:rPr>
              <w:szCs w:val="24"/>
            </w:rPr>
            <w:t>3.8 Ferric reducing antioxidant power assay</w:t>
          </w:r>
          <w:r>
            <w:tab/>
          </w:r>
          <w:r>
            <w:fldChar w:fldCharType="begin"/>
          </w:r>
          <w:r>
            <w:instrText xml:space="preserve"> PAGEREF _Toc6868 </w:instrText>
          </w:r>
          <w:r>
            <w:fldChar w:fldCharType="separate"/>
          </w:r>
          <w:r>
            <w:t>14</w:t>
          </w:r>
          <w:r>
            <w:fldChar w:fldCharType="end"/>
          </w:r>
          <w:r>
            <w:fldChar w:fldCharType="end"/>
          </w:r>
        </w:p>
        <w:p>
          <w:pPr>
            <w:pStyle w:val="11"/>
            <w:tabs>
              <w:tab w:val="right" w:leader="dot" w:pos="8640"/>
            </w:tabs>
          </w:pPr>
          <w:r>
            <w:fldChar w:fldCharType="begin"/>
          </w:r>
          <w:r>
            <w:instrText xml:space="preserve"> HYPERLINK \l "_Toc20517" </w:instrText>
          </w:r>
          <w:r>
            <w:fldChar w:fldCharType="separate"/>
          </w:r>
          <w:r>
            <w:rPr>
              <w:szCs w:val="24"/>
            </w:rPr>
            <w:t>3.9 Phytochemical Screening</w:t>
          </w:r>
          <w:r>
            <w:tab/>
          </w:r>
          <w:r>
            <w:fldChar w:fldCharType="begin"/>
          </w:r>
          <w:r>
            <w:instrText xml:space="preserve"> PAGEREF _Toc20517 </w:instrText>
          </w:r>
          <w:r>
            <w:fldChar w:fldCharType="separate"/>
          </w:r>
          <w:r>
            <w:t>14</w:t>
          </w:r>
          <w:r>
            <w:fldChar w:fldCharType="end"/>
          </w:r>
          <w:r>
            <w:fldChar w:fldCharType="end"/>
          </w:r>
        </w:p>
        <w:p>
          <w:pPr>
            <w:pStyle w:val="12"/>
            <w:tabs>
              <w:tab w:val="right" w:leader="dot" w:pos="8640"/>
            </w:tabs>
          </w:pPr>
          <w:r>
            <w:fldChar w:fldCharType="begin"/>
          </w:r>
          <w:r>
            <w:instrText xml:space="preserve"> HYPERLINK \l "_Toc192" </w:instrText>
          </w:r>
          <w:r>
            <w:fldChar w:fldCharType="separate"/>
          </w:r>
          <w:r>
            <w:rPr>
              <w:szCs w:val="24"/>
            </w:rPr>
            <w:t>3.9.1 Test for Phenolic Compounds</w:t>
          </w:r>
          <w:r>
            <w:tab/>
          </w:r>
          <w:r>
            <w:fldChar w:fldCharType="begin"/>
          </w:r>
          <w:r>
            <w:instrText xml:space="preserve"> PAGEREF _Toc192 </w:instrText>
          </w:r>
          <w:r>
            <w:fldChar w:fldCharType="separate"/>
          </w:r>
          <w:r>
            <w:t>15</w:t>
          </w:r>
          <w:r>
            <w:fldChar w:fldCharType="end"/>
          </w:r>
          <w:r>
            <w:fldChar w:fldCharType="end"/>
          </w:r>
        </w:p>
        <w:p>
          <w:pPr>
            <w:pStyle w:val="12"/>
            <w:tabs>
              <w:tab w:val="right" w:leader="dot" w:pos="8640"/>
            </w:tabs>
          </w:pPr>
          <w:r>
            <w:fldChar w:fldCharType="begin"/>
          </w:r>
          <w:r>
            <w:instrText xml:space="preserve"> HYPERLINK \l "_Toc22326" </w:instrText>
          </w:r>
          <w:r>
            <w:fldChar w:fldCharType="separate"/>
          </w:r>
          <w:r>
            <w:rPr>
              <w:szCs w:val="24"/>
            </w:rPr>
            <w:t>3.9.2 Test for Alkaloids</w:t>
          </w:r>
          <w:r>
            <w:tab/>
          </w:r>
          <w:r>
            <w:fldChar w:fldCharType="begin"/>
          </w:r>
          <w:r>
            <w:instrText xml:space="preserve"> PAGEREF _Toc22326 </w:instrText>
          </w:r>
          <w:r>
            <w:fldChar w:fldCharType="separate"/>
          </w:r>
          <w:r>
            <w:t>15</w:t>
          </w:r>
          <w:r>
            <w:fldChar w:fldCharType="end"/>
          </w:r>
          <w:r>
            <w:fldChar w:fldCharType="end"/>
          </w:r>
        </w:p>
        <w:p>
          <w:pPr>
            <w:pStyle w:val="12"/>
            <w:tabs>
              <w:tab w:val="right" w:leader="dot" w:pos="8640"/>
            </w:tabs>
          </w:pPr>
          <w:r>
            <w:fldChar w:fldCharType="begin"/>
          </w:r>
          <w:r>
            <w:instrText xml:space="preserve"> HYPERLINK \l "_Toc19760" </w:instrText>
          </w:r>
          <w:r>
            <w:fldChar w:fldCharType="separate"/>
          </w:r>
          <w:r>
            <w:rPr>
              <w:szCs w:val="24"/>
            </w:rPr>
            <w:t>3.9.4 Test for Saponins</w:t>
          </w:r>
          <w:r>
            <w:tab/>
          </w:r>
          <w:r>
            <w:fldChar w:fldCharType="begin"/>
          </w:r>
          <w:r>
            <w:instrText xml:space="preserve"> PAGEREF _Toc19760 </w:instrText>
          </w:r>
          <w:r>
            <w:fldChar w:fldCharType="separate"/>
          </w:r>
          <w:r>
            <w:t>15</w:t>
          </w:r>
          <w:r>
            <w:fldChar w:fldCharType="end"/>
          </w:r>
          <w:r>
            <w:fldChar w:fldCharType="end"/>
          </w:r>
        </w:p>
        <w:p>
          <w:pPr>
            <w:pStyle w:val="12"/>
            <w:tabs>
              <w:tab w:val="right" w:leader="dot" w:pos="8640"/>
            </w:tabs>
          </w:pPr>
          <w:r>
            <w:fldChar w:fldCharType="begin"/>
          </w:r>
          <w:r>
            <w:instrText xml:space="preserve"> HYPERLINK \l "_Toc10400" </w:instrText>
          </w:r>
          <w:r>
            <w:fldChar w:fldCharType="separate"/>
          </w:r>
          <w:r>
            <w:rPr>
              <w:szCs w:val="24"/>
            </w:rPr>
            <w:t>3.9.5 Test for Flavonoids</w:t>
          </w:r>
          <w:r>
            <w:tab/>
          </w:r>
          <w:r>
            <w:fldChar w:fldCharType="begin"/>
          </w:r>
          <w:r>
            <w:instrText xml:space="preserve"> PAGEREF _Toc10400 </w:instrText>
          </w:r>
          <w:r>
            <w:fldChar w:fldCharType="separate"/>
          </w:r>
          <w:r>
            <w:t>15</w:t>
          </w:r>
          <w:r>
            <w:fldChar w:fldCharType="end"/>
          </w:r>
          <w:r>
            <w:fldChar w:fldCharType="end"/>
          </w:r>
        </w:p>
        <w:p>
          <w:pPr>
            <w:pStyle w:val="12"/>
            <w:tabs>
              <w:tab w:val="right" w:leader="dot" w:pos="8640"/>
            </w:tabs>
          </w:pPr>
          <w:r>
            <w:fldChar w:fldCharType="begin"/>
          </w:r>
          <w:r>
            <w:instrText xml:space="preserve"> HYPERLINK \l "_Toc8679" </w:instrText>
          </w:r>
          <w:r>
            <w:fldChar w:fldCharType="separate"/>
          </w:r>
          <w:r>
            <w:rPr>
              <w:szCs w:val="24"/>
            </w:rPr>
            <w:t>3.9.6 Tests for Glycosides</w:t>
          </w:r>
          <w:r>
            <w:tab/>
          </w:r>
          <w:r>
            <w:fldChar w:fldCharType="begin"/>
          </w:r>
          <w:r>
            <w:instrText xml:space="preserve"> PAGEREF _Toc8679 </w:instrText>
          </w:r>
          <w:r>
            <w:fldChar w:fldCharType="separate"/>
          </w:r>
          <w:r>
            <w:t>15</w:t>
          </w:r>
          <w:r>
            <w:fldChar w:fldCharType="end"/>
          </w:r>
          <w:r>
            <w:fldChar w:fldCharType="end"/>
          </w:r>
        </w:p>
        <w:p>
          <w:pPr>
            <w:pStyle w:val="12"/>
            <w:tabs>
              <w:tab w:val="right" w:leader="dot" w:pos="8640"/>
            </w:tabs>
          </w:pPr>
          <w:r>
            <w:fldChar w:fldCharType="begin"/>
          </w:r>
          <w:r>
            <w:instrText xml:space="preserve"> HYPERLINK \l "_Toc2106" </w:instrText>
          </w:r>
          <w:r>
            <w:fldChar w:fldCharType="separate"/>
          </w:r>
          <w:r>
            <w:rPr>
              <w:szCs w:val="24"/>
            </w:rPr>
            <w:t>3.9.7 Test for Steroid</w:t>
          </w:r>
          <w:r>
            <w:tab/>
          </w:r>
          <w:r>
            <w:fldChar w:fldCharType="begin"/>
          </w:r>
          <w:r>
            <w:instrText xml:space="preserve"> PAGEREF _Toc2106 </w:instrText>
          </w:r>
          <w:r>
            <w:fldChar w:fldCharType="separate"/>
          </w:r>
          <w:r>
            <w:t>16</w:t>
          </w:r>
          <w:r>
            <w:fldChar w:fldCharType="end"/>
          </w:r>
          <w:r>
            <w:fldChar w:fldCharType="end"/>
          </w:r>
        </w:p>
        <w:p>
          <w:pPr>
            <w:pStyle w:val="10"/>
            <w:tabs>
              <w:tab w:val="right" w:leader="dot" w:pos="8640"/>
            </w:tabs>
          </w:pPr>
          <w:r>
            <w:fldChar w:fldCharType="begin"/>
          </w:r>
          <w:r>
            <w:instrText xml:space="preserve"> HYPERLINK \l "_Toc16380" </w:instrText>
          </w:r>
          <w:r>
            <w:fldChar w:fldCharType="separate"/>
          </w:r>
          <w:r>
            <w:rPr>
              <w:b/>
              <w:bCs/>
            </w:rPr>
            <w:t>4. RESULTS AND DISCUSSION</w:t>
          </w:r>
          <w:r>
            <w:rPr>
              <w:b/>
              <w:bCs/>
            </w:rPr>
            <w:tab/>
          </w:r>
          <w:r>
            <w:rPr>
              <w:b/>
              <w:bCs/>
            </w:rPr>
            <w:fldChar w:fldCharType="begin"/>
          </w:r>
          <w:r>
            <w:rPr>
              <w:b/>
              <w:bCs/>
            </w:rPr>
            <w:instrText xml:space="preserve"> PAGEREF _Toc16380 </w:instrText>
          </w:r>
          <w:r>
            <w:rPr>
              <w:b/>
              <w:bCs/>
            </w:rPr>
            <w:fldChar w:fldCharType="separate"/>
          </w:r>
          <w:r>
            <w:rPr>
              <w:b/>
              <w:bCs/>
            </w:rPr>
            <w:t>17</w:t>
          </w:r>
          <w:r>
            <w:rPr>
              <w:b/>
              <w:bCs/>
            </w:rPr>
            <w:fldChar w:fldCharType="end"/>
          </w:r>
          <w:r>
            <w:rPr>
              <w:b/>
              <w:bCs/>
            </w:rPr>
            <w:fldChar w:fldCharType="end"/>
          </w:r>
        </w:p>
        <w:p>
          <w:pPr>
            <w:pStyle w:val="11"/>
            <w:tabs>
              <w:tab w:val="right" w:leader="dot" w:pos="8640"/>
            </w:tabs>
          </w:pPr>
          <w:r>
            <w:fldChar w:fldCharType="begin"/>
          </w:r>
          <w:r>
            <w:instrText xml:space="preserve"> HYPERLINK \l "_Toc29937" </w:instrText>
          </w:r>
          <w:r>
            <w:fldChar w:fldCharType="separate"/>
          </w:r>
          <w:r>
            <w:rPr>
              <w:szCs w:val="24"/>
            </w:rPr>
            <w:t>4.1 Phytochemical screening</w:t>
          </w:r>
          <w:r>
            <w:tab/>
          </w:r>
          <w:r>
            <w:fldChar w:fldCharType="begin"/>
          </w:r>
          <w:r>
            <w:instrText xml:space="preserve"> PAGEREF _Toc29937 </w:instrText>
          </w:r>
          <w:r>
            <w:fldChar w:fldCharType="separate"/>
          </w:r>
          <w:r>
            <w:t>17</w:t>
          </w:r>
          <w:r>
            <w:fldChar w:fldCharType="end"/>
          </w:r>
          <w:r>
            <w:fldChar w:fldCharType="end"/>
          </w:r>
        </w:p>
        <w:p>
          <w:pPr>
            <w:pStyle w:val="11"/>
            <w:tabs>
              <w:tab w:val="right" w:leader="dot" w:pos="8640"/>
            </w:tabs>
          </w:pPr>
          <w:r>
            <w:fldChar w:fldCharType="begin"/>
          </w:r>
          <w:r>
            <w:instrText xml:space="preserve"> HYPERLINK \l "_Toc11282" </w:instrText>
          </w:r>
          <w:r>
            <w:fldChar w:fldCharType="separate"/>
          </w:r>
          <w:r>
            <w:rPr>
              <w:szCs w:val="24"/>
            </w:rPr>
            <w:t>4.2 Antibacterial assay</w:t>
          </w:r>
          <w:r>
            <w:tab/>
          </w:r>
          <w:r>
            <w:fldChar w:fldCharType="begin"/>
          </w:r>
          <w:r>
            <w:instrText xml:space="preserve"> PAGEREF _Toc11282 </w:instrText>
          </w:r>
          <w:r>
            <w:fldChar w:fldCharType="separate"/>
          </w:r>
          <w:r>
            <w:t>18</w:t>
          </w:r>
          <w:r>
            <w:fldChar w:fldCharType="end"/>
          </w:r>
          <w:r>
            <w:fldChar w:fldCharType="end"/>
          </w:r>
        </w:p>
        <w:p>
          <w:pPr>
            <w:pStyle w:val="11"/>
            <w:tabs>
              <w:tab w:val="right" w:leader="dot" w:pos="8640"/>
            </w:tabs>
          </w:pPr>
          <w:r>
            <w:fldChar w:fldCharType="begin"/>
          </w:r>
          <w:r>
            <w:instrText xml:space="preserve"> HYPERLINK \l "_Toc1185" </w:instrText>
          </w:r>
          <w:r>
            <w:fldChar w:fldCharType="separate"/>
          </w:r>
          <w:r>
            <w:rPr>
              <w:szCs w:val="24"/>
            </w:rPr>
            <w:t>4.3 Ferric Reducing Antioxidant Power Assay</w:t>
          </w:r>
          <w:r>
            <w:tab/>
          </w:r>
          <w:r>
            <w:fldChar w:fldCharType="begin"/>
          </w:r>
          <w:r>
            <w:instrText xml:space="preserve"> PAGEREF _Toc1185 </w:instrText>
          </w:r>
          <w:r>
            <w:fldChar w:fldCharType="separate"/>
          </w:r>
          <w:r>
            <w:t>20</w:t>
          </w:r>
          <w:r>
            <w:fldChar w:fldCharType="end"/>
          </w:r>
          <w:r>
            <w:fldChar w:fldCharType="end"/>
          </w:r>
        </w:p>
        <w:p>
          <w:pPr>
            <w:pStyle w:val="11"/>
            <w:tabs>
              <w:tab w:val="right" w:leader="dot" w:pos="8640"/>
            </w:tabs>
          </w:pPr>
          <w:r>
            <w:fldChar w:fldCharType="begin"/>
          </w:r>
          <w:r>
            <w:instrText xml:space="preserve"> HYPERLINK \l "_Toc16719" </w:instrText>
          </w:r>
          <w:r>
            <w:fldChar w:fldCharType="separate"/>
          </w:r>
          <w:r>
            <w:rPr>
              <w:rFonts w:eastAsia="SimSun"/>
              <w:szCs w:val="24"/>
            </w:rPr>
            <w:t>4.4 Free Radical Scavenging Activity (DPPH)</w:t>
          </w:r>
          <w:r>
            <w:tab/>
          </w:r>
          <w:r>
            <w:fldChar w:fldCharType="begin"/>
          </w:r>
          <w:r>
            <w:instrText xml:space="preserve"> PAGEREF _Toc16719 </w:instrText>
          </w:r>
          <w:r>
            <w:fldChar w:fldCharType="separate"/>
          </w:r>
          <w:r>
            <w:t>21</w:t>
          </w:r>
          <w:r>
            <w:fldChar w:fldCharType="end"/>
          </w:r>
          <w:r>
            <w:fldChar w:fldCharType="end"/>
          </w:r>
        </w:p>
        <w:p>
          <w:pPr>
            <w:pStyle w:val="10"/>
            <w:tabs>
              <w:tab w:val="right" w:leader="dot" w:pos="8640"/>
            </w:tabs>
          </w:pPr>
          <w:r>
            <w:fldChar w:fldCharType="begin"/>
          </w:r>
          <w:r>
            <w:instrText xml:space="preserve"> HYPERLINK \l "_Toc14248" </w:instrText>
          </w:r>
          <w:r>
            <w:fldChar w:fldCharType="separate"/>
          </w:r>
          <w:r>
            <w:rPr>
              <w:b/>
              <w:bCs/>
            </w:rPr>
            <w:t>5. CONCLUSION AND RECOMMENDATION</w:t>
          </w:r>
          <w:r>
            <w:rPr>
              <w:b/>
              <w:bCs/>
            </w:rPr>
            <w:tab/>
          </w:r>
          <w:r>
            <w:rPr>
              <w:b/>
              <w:bCs/>
            </w:rPr>
            <w:fldChar w:fldCharType="begin"/>
          </w:r>
          <w:r>
            <w:rPr>
              <w:b/>
              <w:bCs/>
            </w:rPr>
            <w:instrText xml:space="preserve"> PAGEREF _Toc14248 </w:instrText>
          </w:r>
          <w:r>
            <w:rPr>
              <w:b/>
              <w:bCs/>
            </w:rPr>
            <w:fldChar w:fldCharType="separate"/>
          </w:r>
          <w:r>
            <w:rPr>
              <w:b/>
              <w:bCs/>
            </w:rPr>
            <w:t>23</w:t>
          </w:r>
          <w:r>
            <w:rPr>
              <w:b/>
              <w:bCs/>
            </w:rPr>
            <w:fldChar w:fldCharType="end"/>
          </w:r>
          <w:r>
            <w:rPr>
              <w:b/>
              <w:bCs/>
            </w:rPr>
            <w:fldChar w:fldCharType="end"/>
          </w:r>
        </w:p>
        <w:p>
          <w:pPr>
            <w:pStyle w:val="11"/>
            <w:tabs>
              <w:tab w:val="right" w:leader="dot" w:pos="8640"/>
            </w:tabs>
          </w:pPr>
          <w:r>
            <w:fldChar w:fldCharType="begin"/>
          </w:r>
          <w:r>
            <w:instrText xml:space="preserve"> HYPERLINK \l "_Toc4383" </w:instrText>
          </w:r>
          <w:r>
            <w:fldChar w:fldCharType="separate"/>
          </w:r>
          <w:r>
            <w:t>5.1 Conclusion</w:t>
          </w:r>
          <w:r>
            <w:tab/>
          </w:r>
          <w:r>
            <w:fldChar w:fldCharType="begin"/>
          </w:r>
          <w:r>
            <w:instrText xml:space="preserve"> PAGEREF _Toc4383 </w:instrText>
          </w:r>
          <w:r>
            <w:fldChar w:fldCharType="separate"/>
          </w:r>
          <w:r>
            <w:t>23</w:t>
          </w:r>
          <w:r>
            <w:fldChar w:fldCharType="end"/>
          </w:r>
          <w:r>
            <w:fldChar w:fldCharType="end"/>
          </w:r>
        </w:p>
        <w:p>
          <w:pPr>
            <w:pStyle w:val="11"/>
            <w:tabs>
              <w:tab w:val="right" w:leader="dot" w:pos="8640"/>
            </w:tabs>
          </w:pPr>
          <w:r>
            <w:fldChar w:fldCharType="begin"/>
          </w:r>
          <w:r>
            <w:instrText xml:space="preserve"> HYPERLINK \l "_Toc18979" </w:instrText>
          </w:r>
          <w:r>
            <w:fldChar w:fldCharType="separate"/>
          </w:r>
          <w:r>
            <w:t>5.2 Recommendation</w:t>
          </w:r>
          <w:r>
            <w:tab/>
          </w:r>
          <w:r>
            <w:fldChar w:fldCharType="begin"/>
          </w:r>
          <w:r>
            <w:instrText xml:space="preserve"> PAGEREF _Toc18979 </w:instrText>
          </w:r>
          <w:r>
            <w:fldChar w:fldCharType="separate"/>
          </w:r>
          <w:r>
            <w:t>23</w:t>
          </w:r>
          <w:r>
            <w:fldChar w:fldCharType="end"/>
          </w:r>
          <w:r>
            <w:fldChar w:fldCharType="end"/>
          </w:r>
        </w:p>
        <w:p>
          <w:pPr>
            <w:pStyle w:val="10"/>
            <w:tabs>
              <w:tab w:val="right" w:leader="dot" w:pos="8640"/>
            </w:tabs>
            <w:rPr>
              <w:b/>
              <w:bCs/>
            </w:rPr>
          </w:pPr>
          <w:r>
            <w:fldChar w:fldCharType="begin"/>
          </w:r>
          <w:r>
            <w:instrText xml:space="preserve"> HYPERLINK \l "_Toc7689" </w:instrText>
          </w:r>
          <w:r>
            <w:fldChar w:fldCharType="separate"/>
          </w:r>
          <w:r>
            <w:rPr>
              <w:b/>
              <w:bCs/>
              <w:szCs w:val="24"/>
            </w:rPr>
            <w:t>REFERENCE</w:t>
          </w:r>
          <w:r>
            <w:rPr>
              <w:b/>
              <w:bCs/>
            </w:rPr>
            <w:tab/>
          </w:r>
          <w:r>
            <w:rPr>
              <w:b/>
              <w:bCs/>
            </w:rPr>
            <w:fldChar w:fldCharType="begin"/>
          </w:r>
          <w:r>
            <w:rPr>
              <w:b/>
              <w:bCs/>
            </w:rPr>
            <w:instrText xml:space="preserve"> PAGEREF _Toc7689 </w:instrText>
          </w:r>
          <w:r>
            <w:rPr>
              <w:b/>
              <w:bCs/>
            </w:rPr>
            <w:fldChar w:fldCharType="separate"/>
          </w:r>
          <w:r>
            <w:rPr>
              <w:b/>
              <w:bCs/>
            </w:rPr>
            <w:t>24</w:t>
          </w:r>
          <w:r>
            <w:rPr>
              <w:b/>
              <w:bCs/>
            </w:rPr>
            <w:fldChar w:fldCharType="end"/>
          </w:r>
          <w:r>
            <w:rPr>
              <w:b/>
              <w:bCs/>
            </w:rPr>
            <w:fldChar w:fldCharType="end"/>
          </w:r>
        </w:p>
        <w:p>
          <w:pPr>
            <w:jc w:val="both"/>
            <w:rPr>
              <w:szCs w:val="24"/>
            </w:rPr>
          </w:pPr>
          <w:r>
            <w:rPr>
              <w:szCs w:val="24"/>
            </w:rPr>
            <w:fldChar w:fldCharType="end"/>
          </w:r>
        </w:p>
      </w:sdtContent>
    </w:sdt>
    <w:p>
      <w:pPr>
        <w:pStyle w:val="2"/>
        <w:jc w:val="both"/>
        <w:rPr>
          <w:rFonts w:ascii="Times New Roman" w:hAnsi="Times New Roman"/>
          <w:color w:val="auto"/>
          <w:sz w:val="24"/>
          <w:szCs w:val="24"/>
        </w:rPr>
      </w:pPr>
      <w:bookmarkStart w:id="3" w:name="_Toc500733938"/>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pStyle w:val="2"/>
        <w:jc w:val="both"/>
        <w:rPr>
          <w:rFonts w:ascii="Times New Roman" w:hAnsi="Times New Roman"/>
          <w:color w:val="auto"/>
          <w:sz w:val="24"/>
          <w:szCs w:val="24"/>
        </w:rPr>
      </w:pPr>
      <w:bookmarkStart w:id="4" w:name="_Toc23832"/>
      <w:r>
        <w:rPr>
          <w:rFonts w:ascii="Times New Roman" w:hAnsi="Times New Roman"/>
          <w:color w:val="auto"/>
          <w:sz w:val="24"/>
          <w:szCs w:val="24"/>
        </w:rPr>
        <w:t>List of Abbreviations</w:t>
      </w:r>
      <w:bookmarkEnd w:id="4"/>
    </w:p>
    <w:p>
      <w:pPr>
        <w:jc w:val="both"/>
        <w:rPr>
          <w:szCs w:val="24"/>
        </w:rPr>
      </w:pPr>
      <w:r>
        <w:rPr>
          <w:szCs w:val="24"/>
          <w:vertAlign w:val="superscript"/>
        </w:rPr>
        <w:t>o</w:t>
      </w:r>
      <w:r>
        <w:rPr>
          <w:szCs w:val="24"/>
        </w:rPr>
        <w:t>C                               Degree Celsius</w:t>
      </w:r>
    </w:p>
    <w:p>
      <w:pPr>
        <w:jc w:val="both"/>
        <w:rPr>
          <w:b/>
          <w:szCs w:val="24"/>
        </w:rPr>
      </w:pPr>
      <w:r>
        <w:rPr>
          <w:szCs w:val="24"/>
        </w:rPr>
        <w:t xml:space="preserve">%                                  Percentage </w:t>
      </w:r>
    </w:p>
    <w:p>
      <w:pPr>
        <w:jc w:val="both"/>
        <w:rPr>
          <w:szCs w:val="24"/>
        </w:rPr>
      </w:pPr>
      <w:r>
        <w:rPr>
          <w:szCs w:val="24"/>
        </w:rPr>
        <w:t xml:space="preserve">AA                             Ascorbic Acid </w:t>
      </w:r>
    </w:p>
    <w:p>
      <w:pPr>
        <w:jc w:val="both"/>
        <w:rPr>
          <w:szCs w:val="24"/>
        </w:rPr>
      </w:pPr>
      <w:r>
        <w:rPr>
          <w:szCs w:val="24"/>
        </w:rPr>
        <w:t xml:space="preserve">WHO                          World Health Organization </w:t>
      </w:r>
    </w:p>
    <w:p>
      <w:pPr>
        <w:jc w:val="both"/>
        <w:rPr>
          <w:szCs w:val="24"/>
        </w:rPr>
      </w:pPr>
      <w:r>
        <w:rPr>
          <w:szCs w:val="24"/>
        </w:rPr>
        <w:t>DPPH                          2, 2- Diphenyl-1-picrylhydrazyl</w:t>
      </w:r>
    </w:p>
    <w:p>
      <w:pPr>
        <w:jc w:val="both"/>
        <w:rPr>
          <w:szCs w:val="24"/>
        </w:rPr>
      </w:pPr>
      <w:r>
        <w:rPr>
          <w:szCs w:val="24"/>
        </w:rPr>
        <w:t>FRAP                           Ferric Reducing Antioxidant Power</w:t>
      </w:r>
    </w:p>
    <w:p>
      <w:pPr>
        <w:jc w:val="both"/>
        <w:rPr>
          <w:szCs w:val="24"/>
        </w:rPr>
      </w:pPr>
      <w:r>
        <w:rPr>
          <w:szCs w:val="24"/>
        </w:rPr>
        <w:t xml:space="preserve">TLC                             Thin Layer Chromatography </w:t>
      </w:r>
    </w:p>
    <w:p>
      <w:pPr>
        <w:jc w:val="both"/>
        <w:rPr>
          <w:szCs w:val="24"/>
        </w:rPr>
      </w:pPr>
      <w:r>
        <w:rPr>
          <w:szCs w:val="24"/>
        </w:rPr>
        <w:t xml:space="preserve">SD                              Standard Deviation </w:t>
      </w:r>
    </w:p>
    <w:p>
      <w:pPr>
        <w:jc w:val="both"/>
        <w:rPr>
          <w:szCs w:val="24"/>
        </w:rPr>
      </w:pPr>
      <w:r>
        <w:rPr>
          <w:szCs w:val="24"/>
        </w:rPr>
        <w:t>TPTZ                           2, 4, 6-tripyridyl-s-triazine</w:t>
      </w:r>
    </w:p>
    <w:p>
      <w:pPr>
        <w:jc w:val="both"/>
        <w:rPr>
          <w:szCs w:val="24"/>
        </w:rPr>
      </w:pPr>
      <w:r>
        <w:rPr>
          <w:szCs w:val="24"/>
        </w:rPr>
        <w:t xml:space="preserve">RF                               Retardation Factor </w:t>
      </w:r>
    </w:p>
    <w:p>
      <w:pPr>
        <w:jc w:val="both"/>
        <w:rPr>
          <w:szCs w:val="24"/>
        </w:rPr>
      </w:pPr>
      <w:r>
        <w:rPr>
          <w:szCs w:val="24"/>
        </w:rPr>
        <w:t>ROS                           Reactive Oxygen Species</w:t>
      </w:r>
    </w:p>
    <w:p>
      <w:pPr>
        <w:jc w:val="both"/>
        <w:rPr>
          <w:szCs w:val="24"/>
        </w:rPr>
      </w:pPr>
      <w:r>
        <w:rPr>
          <w:szCs w:val="24"/>
        </w:rPr>
        <w:t xml:space="preserve">UV -VIS                   Ultra Violet- Visible </w:t>
      </w:r>
    </w:p>
    <w:p>
      <w:pPr>
        <w:jc w:val="both"/>
        <w:rPr>
          <w:szCs w:val="24"/>
        </w:rPr>
      </w:pPr>
      <w:r>
        <w:rPr>
          <w:szCs w:val="24"/>
        </w:rPr>
        <w:t>IR                             Infrared</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pStyle w:val="2"/>
        <w:ind w:firstLine="840" w:firstLineChars="350"/>
        <w:jc w:val="both"/>
        <w:rPr>
          <w:rFonts w:ascii="Times New Roman" w:hAnsi="Times New Roman"/>
          <w:color w:val="auto"/>
          <w:sz w:val="24"/>
          <w:szCs w:val="24"/>
        </w:rPr>
      </w:pPr>
      <w:bookmarkStart w:id="5" w:name="_Toc12358"/>
      <w:r>
        <w:rPr>
          <w:rFonts w:ascii="Times New Roman" w:hAnsi="Times New Roman"/>
          <w:color w:val="auto"/>
          <w:sz w:val="24"/>
          <w:szCs w:val="24"/>
        </w:rPr>
        <w:t>List of figures</w:t>
      </w:r>
      <w:bookmarkEnd w:id="5"/>
    </w:p>
    <w:p>
      <w:pPr>
        <w:pStyle w:val="9"/>
        <w:tabs>
          <w:tab w:val="right" w:leader="dot" w:pos="8640"/>
        </w:tabs>
        <w:ind w:left="960" w:hanging="480"/>
      </w:pPr>
      <w:r>
        <w:rPr>
          <w:szCs w:val="24"/>
        </w:rPr>
        <w:fldChar w:fldCharType="begin"/>
      </w:r>
      <w:r>
        <w:rPr>
          <w:szCs w:val="24"/>
        </w:rPr>
        <w:instrText xml:space="preserve">TOC \h \c "Figure"</w:instrText>
      </w:r>
      <w:r>
        <w:rPr>
          <w:szCs w:val="24"/>
        </w:rPr>
        <w:fldChar w:fldCharType="separate"/>
      </w:r>
      <w:r>
        <w:fldChar w:fldCharType="begin"/>
      </w:r>
      <w:r>
        <w:instrText xml:space="preserve"> HYPERLINK \l "_Toc1305" </w:instrText>
      </w:r>
      <w:r>
        <w:fldChar w:fldCharType="separate"/>
      </w:r>
      <w:r>
        <w:rPr>
          <w:b/>
          <w:bCs/>
          <w:szCs w:val="24"/>
        </w:rPr>
        <w:t xml:space="preserve">Figure </w:t>
      </w:r>
      <w:r>
        <w:rPr>
          <w:b/>
          <w:bCs/>
        </w:rPr>
        <w:t>1</w:t>
      </w:r>
      <w:r>
        <w:rPr>
          <w:b/>
          <w:bCs/>
          <w:szCs w:val="24"/>
        </w:rPr>
        <w:t>:</w:t>
      </w:r>
      <w:r>
        <w:rPr>
          <w:i/>
          <w:iCs/>
          <w:szCs w:val="24"/>
        </w:rPr>
        <w:t xml:space="preserve"> Verbascum sinaiticum</w:t>
      </w:r>
      <w:r>
        <w:rPr>
          <w:szCs w:val="24"/>
        </w:rPr>
        <w:t xml:space="preserve"> plant</w:t>
      </w:r>
      <w:r>
        <w:tab/>
      </w:r>
      <w:r>
        <w:fldChar w:fldCharType="begin"/>
      </w:r>
      <w:r>
        <w:instrText xml:space="preserve"> PAGEREF _Toc1305 </w:instrText>
      </w:r>
      <w:r>
        <w:fldChar w:fldCharType="separate"/>
      </w:r>
      <w:r>
        <w:t>2</w:t>
      </w:r>
      <w:r>
        <w:fldChar w:fldCharType="end"/>
      </w:r>
      <w:r>
        <w:fldChar w:fldCharType="end"/>
      </w:r>
    </w:p>
    <w:p>
      <w:pPr>
        <w:pStyle w:val="9"/>
        <w:tabs>
          <w:tab w:val="right" w:leader="dot" w:pos="8640"/>
        </w:tabs>
        <w:ind w:left="960" w:hanging="480"/>
      </w:pPr>
      <w:r>
        <w:fldChar w:fldCharType="begin"/>
      </w:r>
      <w:r>
        <w:instrText xml:space="preserve"> HYPERLINK \l "_Toc27579" </w:instrText>
      </w:r>
      <w:r>
        <w:fldChar w:fldCharType="separate"/>
      </w:r>
      <w:r>
        <w:rPr>
          <w:b/>
          <w:bCs/>
          <w:szCs w:val="24"/>
        </w:rPr>
        <w:t xml:space="preserve">Figure </w:t>
      </w:r>
      <w:r>
        <w:rPr>
          <w:b/>
          <w:bCs/>
        </w:rPr>
        <w:t>2</w:t>
      </w:r>
      <w:r>
        <w:rPr>
          <w:szCs w:val="24"/>
        </w:rPr>
        <w:t xml:space="preserve">:compounds isolated from </w:t>
      </w:r>
      <w:r>
        <w:rPr>
          <w:i/>
          <w:iCs/>
          <w:szCs w:val="24"/>
        </w:rPr>
        <w:t>V. sinaiticum</w:t>
      </w:r>
      <w:r>
        <w:tab/>
      </w:r>
      <w:r>
        <w:fldChar w:fldCharType="begin"/>
      </w:r>
      <w:r>
        <w:instrText xml:space="preserve"> PAGEREF _Toc27579 </w:instrText>
      </w:r>
      <w:r>
        <w:fldChar w:fldCharType="separate"/>
      </w:r>
      <w:r>
        <w:t>6</w:t>
      </w:r>
      <w:r>
        <w:fldChar w:fldCharType="end"/>
      </w:r>
      <w:r>
        <w:fldChar w:fldCharType="end"/>
      </w:r>
    </w:p>
    <w:p>
      <w:pPr>
        <w:pStyle w:val="9"/>
        <w:tabs>
          <w:tab w:val="right" w:leader="dot" w:pos="8640"/>
        </w:tabs>
        <w:ind w:left="960" w:hanging="480"/>
      </w:pPr>
      <w:r>
        <w:fldChar w:fldCharType="begin"/>
      </w:r>
      <w:r>
        <w:instrText xml:space="preserve"> HYPERLINK \l "_Toc10626" </w:instrText>
      </w:r>
      <w:r>
        <w:fldChar w:fldCharType="separate"/>
      </w:r>
      <w:r>
        <w:rPr>
          <w:b/>
          <w:bCs/>
          <w:szCs w:val="24"/>
        </w:rPr>
        <w:t xml:space="preserve">Figure </w:t>
      </w:r>
      <w:r>
        <w:rPr>
          <w:b/>
          <w:bCs/>
        </w:rPr>
        <w:t>3</w:t>
      </w:r>
      <w:r>
        <w:rPr>
          <w:szCs w:val="24"/>
        </w:rPr>
        <w:t>: Structure of atropine</w:t>
      </w:r>
      <w:r>
        <w:tab/>
      </w:r>
      <w:r>
        <w:fldChar w:fldCharType="begin"/>
      </w:r>
      <w:r>
        <w:instrText xml:space="preserve"> PAGEREF _Toc10626 </w:instrText>
      </w:r>
      <w:r>
        <w:fldChar w:fldCharType="separate"/>
      </w:r>
      <w:r>
        <w:t>8</w:t>
      </w:r>
      <w:r>
        <w:fldChar w:fldCharType="end"/>
      </w:r>
      <w:r>
        <w:fldChar w:fldCharType="end"/>
      </w:r>
    </w:p>
    <w:p>
      <w:pPr>
        <w:pStyle w:val="9"/>
        <w:tabs>
          <w:tab w:val="right" w:leader="dot" w:pos="8640"/>
        </w:tabs>
        <w:ind w:left="960" w:hanging="480"/>
      </w:pPr>
      <w:r>
        <w:fldChar w:fldCharType="begin"/>
      </w:r>
      <w:r>
        <w:instrText xml:space="preserve"> HYPERLINK \l "_Toc28859" </w:instrText>
      </w:r>
      <w:r>
        <w:fldChar w:fldCharType="separate"/>
      </w:r>
      <w:r>
        <w:rPr>
          <w:b/>
          <w:bCs/>
          <w:szCs w:val="24"/>
        </w:rPr>
        <w:t xml:space="preserve">Figure </w:t>
      </w:r>
      <w:r>
        <w:rPr>
          <w:b/>
          <w:bCs/>
        </w:rPr>
        <w:t>4</w:t>
      </w:r>
      <w:r>
        <w:rPr>
          <w:szCs w:val="24"/>
        </w:rPr>
        <w:t>: Structures of flavonoids</w:t>
      </w:r>
      <w:r>
        <w:tab/>
      </w:r>
      <w:r>
        <w:fldChar w:fldCharType="begin"/>
      </w:r>
      <w:r>
        <w:instrText xml:space="preserve"> PAGEREF _Toc28859 </w:instrText>
      </w:r>
      <w:r>
        <w:fldChar w:fldCharType="separate"/>
      </w:r>
      <w:r>
        <w:t>9</w:t>
      </w:r>
      <w:r>
        <w:fldChar w:fldCharType="end"/>
      </w:r>
      <w:r>
        <w:fldChar w:fldCharType="end"/>
      </w:r>
    </w:p>
    <w:p>
      <w:pPr>
        <w:pStyle w:val="9"/>
        <w:tabs>
          <w:tab w:val="right" w:leader="dot" w:pos="8640"/>
        </w:tabs>
        <w:ind w:left="960" w:hanging="480"/>
      </w:pPr>
      <w:r>
        <w:fldChar w:fldCharType="begin"/>
      </w:r>
      <w:r>
        <w:instrText xml:space="preserve"> HYPERLINK \l "_Toc4989" </w:instrText>
      </w:r>
      <w:r>
        <w:fldChar w:fldCharType="separate"/>
      </w:r>
      <w:r>
        <w:rPr>
          <w:b/>
          <w:szCs w:val="24"/>
        </w:rPr>
        <w:t xml:space="preserve">Figure </w:t>
      </w:r>
      <w:r>
        <w:rPr>
          <w:b/>
        </w:rPr>
        <w:t>5</w:t>
      </w:r>
      <w:r>
        <w:rPr>
          <w:szCs w:val="24"/>
        </w:rPr>
        <w:t>: Molecular structures of benzoic and cinnamic acid derivatives</w:t>
      </w:r>
      <w:r>
        <w:tab/>
      </w:r>
      <w:r>
        <w:fldChar w:fldCharType="begin"/>
      </w:r>
      <w:r>
        <w:instrText xml:space="preserve"> PAGEREF _Toc4989 </w:instrText>
      </w:r>
      <w:r>
        <w:fldChar w:fldCharType="separate"/>
      </w:r>
      <w:r>
        <w:t>10</w:t>
      </w:r>
      <w:r>
        <w:fldChar w:fldCharType="end"/>
      </w:r>
      <w:r>
        <w:fldChar w:fldCharType="end"/>
      </w:r>
    </w:p>
    <w:p>
      <w:pPr>
        <w:pStyle w:val="9"/>
        <w:tabs>
          <w:tab w:val="right" w:leader="dot" w:pos="8640"/>
        </w:tabs>
        <w:ind w:left="960" w:hanging="480"/>
      </w:pPr>
      <w:r>
        <w:fldChar w:fldCharType="begin"/>
      </w:r>
      <w:r>
        <w:instrText xml:space="preserve"> HYPERLINK \l "_Toc3204" </w:instrText>
      </w:r>
      <w:r>
        <w:fldChar w:fldCharType="separate"/>
      </w:r>
      <w:r>
        <w:rPr>
          <w:b/>
          <w:szCs w:val="24"/>
        </w:rPr>
        <w:t xml:space="preserve">Figure </w:t>
      </w:r>
      <w:r>
        <w:rPr>
          <w:b/>
        </w:rPr>
        <w:t>6</w:t>
      </w:r>
      <w:r>
        <w:rPr>
          <w:bCs/>
          <w:szCs w:val="24"/>
        </w:rPr>
        <w:t>:</w:t>
      </w:r>
      <w:r>
        <w:rPr>
          <w:szCs w:val="24"/>
        </w:rPr>
        <w:t xml:space="preserve"> Basic structures of sapogenins: a triterpenoid(a ) and a steroid(b)</w:t>
      </w:r>
      <w:r>
        <w:tab/>
      </w:r>
      <w:r>
        <w:fldChar w:fldCharType="begin"/>
      </w:r>
      <w:r>
        <w:instrText xml:space="preserve"> PAGEREF _Toc3204 </w:instrText>
      </w:r>
      <w:r>
        <w:fldChar w:fldCharType="separate"/>
      </w:r>
      <w:r>
        <w:t>10</w:t>
      </w:r>
      <w:r>
        <w:fldChar w:fldCharType="end"/>
      </w:r>
      <w:r>
        <w:fldChar w:fldCharType="end"/>
      </w:r>
    </w:p>
    <w:p>
      <w:pPr>
        <w:pStyle w:val="2"/>
        <w:jc w:val="both"/>
        <w:rPr>
          <w:rFonts w:ascii="Times New Roman" w:hAnsi="Times New Roman"/>
          <w:color w:val="auto"/>
          <w:szCs w:val="24"/>
        </w:rPr>
      </w:pPr>
      <w:r>
        <w:rPr>
          <w:rFonts w:ascii="Times New Roman" w:hAnsi="Times New Roman"/>
          <w:color w:val="auto"/>
          <w:szCs w:val="24"/>
        </w:rPr>
        <w:fldChar w:fldCharType="end"/>
      </w:r>
    </w:p>
    <w:p>
      <w:pPr>
        <w:pStyle w:val="2"/>
        <w:jc w:val="both"/>
        <w:rPr>
          <w:rFonts w:ascii="Times New Roman" w:hAnsi="Times New Roman"/>
          <w:color w:val="auto"/>
          <w:szCs w:val="24"/>
        </w:rPr>
      </w:pPr>
    </w:p>
    <w:p>
      <w:pPr>
        <w:pStyle w:val="2"/>
        <w:jc w:val="both"/>
        <w:rPr>
          <w:rFonts w:ascii="Times New Roman" w:hAnsi="Times New Roman"/>
          <w:color w:val="auto"/>
          <w:szCs w:val="24"/>
        </w:rPr>
      </w:pPr>
    </w:p>
    <w:p>
      <w:pPr>
        <w:pStyle w:val="2"/>
        <w:jc w:val="both"/>
        <w:rPr>
          <w:rFonts w:ascii="Times New Roman" w:hAnsi="Times New Roman"/>
          <w:color w:val="auto"/>
          <w:szCs w:val="24"/>
        </w:rPr>
      </w:pPr>
    </w:p>
    <w:p>
      <w:pPr>
        <w:pStyle w:val="2"/>
        <w:jc w:val="both"/>
        <w:rPr>
          <w:rFonts w:ascii="Times New Roman" w:hAnsi="Times New Roman"/>
          <w:color w:val="auto"/>
          <w:szCs w:val="24"/>
        </w:rPr>
      </w:pPr>
    </w:p>
    <w:p>
      <w:pPr>
        <w:pStyle w:val="2"/>
        <w:jc w:val="both"/>
        <w:rPr>
          <w:rFonts w:ascii="Times New Roman" w:hAnsi="Times New Roman"/>
          <w:color w:val="auto"/>
          <w:szCs w:val="24"/>
        </w:rPr>
      </w:pPr>
    </w:p>
    <w:p>
      <w:pPr>
        <w:pStyle w:val="2"/>
        <w:jc w:val="both"/>
        <w:rPr>
          <w:rFonts w:ascii="Times New Roman" w:hAnsi="Times New Roman"/>
          <w:color w:val="auto"/>
          <w:szCs w:val="24"/>
        </w:rPr>
      </w:pPr>
    </w:p>
    <w:p>
      <w:pPr>
        <w:pStyle w:val="2"/>
        <w:jc w:val="both"/>
        <w:rPr>
          <w:rFonts w:ascii="Times New Roman" w:hAnsi="Times New Roman"/>
          <w:color w:val="auto"/>
          <w:sz w:val="24"/>
          <w:szCs w:val="24"/>
        </w:rPr>
      </w:pPr>
    </w:p>
    <w:p>
      <w:pPr>
        <w:jc w:val="both"/>
      </w:pPr>
    </w:p>
    <w:p>
      <w:pPr>
        <w:jc w:val="both"/>
      </w:pPr>
    </w:p>
    <w:p>
      <w:pPr>
        <w:pStyle w:val="2"/>
        <w:jc w:val="both"/>
        <w:rPr>
          <w:rFonts w:ascii="Times New Roman" w:hAnsi="Times New Roman"/>
          <w:color w:val="auto"/>
          <w:sz w:val="24"/>
          <w:szCs w:val="24"/>
        </w:rPr>
      </w:pPr>
      <w:bookmarkStart w:id="6" w:name="_Toc15109"/>
    </w:p>
    <w:p>
      <w:pPr>
        <w:pStyle w:val="2"/>
        <w:ind w:firstLine="960" w:firstLineChars="400"/>
        <w:jc w:val="both"/>
        <w:rPr>
          <w:rFonts w:ascii="Times New Roman" w:hAnsi="Times New Roman"/>
          <w:color w:val="auto"/>
          <w:sz w:val="24"/>
          <w:szCs w:val="24"/>
        </w:rPr>
      </w:pPr>
      <w:r>
        <w:rPr>
          <w:rFonts w:ascii="Times New Roman" w:hAnsi="Times New Roman"/>
          <w:color w:val="auto"/>
          <w:sz w:val="24"/>
          <w:szCs w:val="24"/>
        </w:rPr>
        <w:t>List of Tables</w:t>
      </w:r>
      <w:bookmarkEnd w:id="6"/>
    </w:p>
    <w:p>
      <w:pPr>
        <w:pStyle w:val="9"/>
        <w:tabs>
          <w:tab w:val="right" w:leader="dot" w:pos="8640"/>
        </w:tabs>
        <w:ind w:left="962" w:hanging="482"/>
        <w:rPr>
          <w:b/>
          <w:bCs/>
        </w:rPr>
      </w:pPr>
      <w:r>
        <w:rPr>
          <w:b/>
          <w:bCs/>
          <w:szCs w:val="24"/>
        </w:rPr>
        <w:fldChar w:fldCharType="begin"/>
      </w:r>
      <w:r>
        <w:rPr>
          <w:b/>
          <w:bCs/>
          <w:szCs w:val="24"/>
        </w:rPr>
        <w:instrText xml:space="preserve"> TOC \h \z \c "Table"</w:instrText>
      </w:r>
      <w:r>
        <w:rPr>
          <w:b/>
          <w:bCs/>
          <w:szCs w:val="24"/>
        </w:rPr>
        <w:fldChar w:fldCharType="separate"/>
      </w:r>
      <w:r>
        <w:fldChar w:fldCharType="begin"/>
      </w:r>
      <w:r>
        <w:instrText xml:space="preserve"> HYPERLINK \l "_Toc10754" </w:instrText>
      </w:r>
      <w:r>
        <w:fldChar w:fldCharType="separate"/>
      </w:r>
      <w:r>
        <w:rPr>
          <w:b/>
          <w:bCs/>
          <w:szCs w:val="24"/>
        </w:rPr>
        <w:t xml:space="preserve">Table </w:t>
      </w:r>
      <w:r>
        <w:rPr>
          <w:b/>
          <w:bCs/>
        </w:rPr>
        <w:t>1</w:t>
      </w:r>
      <w:r>
        <w:rPr>
          <w:b/>
          <w:bCs/>
          <w:szCs w:val="24"/>
        </w:rPr>
        <w:t xml:space="preserve">: </w:t>
      </w:r>
      <w:r>
        <w:rPr>
          <w:szCs w:val="24"/>
        </w:rPr>
        <w:t xml:space="preserve">Phytochemical constituents in </w:t>
      </w:r>
      <w:r>
        <w:rPr>
          <w:i/>
          <w:iCs/>
          <w:szCs w:val="24"/>
        </w:rPr>
        <w:t>Verbascum sinaiticum</w:t>
      </w:r>
      <w:r>
        <w:rPr>
          <w:szCs w:val="24"/>
        </w:rPr>
        <w:t xml:space="preserve"> root extracts</w:t>
      </w:r>
      <w:r>
        <w:tab/>
      </w:r>
      <w:r>
        <w:fldChar w:fldCharType="begin"/>
      </w:r>
      <w:r>
        <w:instrText xml:space="preserve"> PAGEREF _Toc10754 </w:instrText>
      </w:r>
      <w:r>
        <w:fldChar w:fldCharType="separate"/>
      </w:r>
      <w:r>
        <w:t>17</w:t>
      </w:r>
      <w:r>
        <w:fldChar w:fldCharType="end"/>
      </w:r>
      <w:r>
        <w:fldChar w:fldCharType="end"/>
      </w:r>
    </w:p>
    <w:p>
      <w:pPr>
        <w:pStyle w:val="9"/>
        <w:tabs>
          <w:tab w:val="right" w:leader="dot" w:pos="8640"/>
        </w:tabs>
        <w:ind w:left="962" w:hanging="482"/>
        <w:rPr>
          <w:b/>
          <w:bCs/>
        </w:rPr>
      </w:pPr>
      <w:r>
        <w:fldChar w:fldCharType="begin"/>
      </w:r>
      <w:r>
        <w:instrText xml:space="preserve"> HYPERLINK \l "_Toc20504" </w:instrText>
      </w:r>
      <w:r>
        <w:fldChar w:fldCharType="separate"/>
      </w:r>
      <w:r>
        <w:rPr>
          <w:b/>
          <w:bCs/>
          <w:szCs w:val="24"/>
        </w:rPr>
        <w:t>Table</w:t>
      </w:r>
      <w:r>
        <w:rPr>
          <w:b/>
          <w:bCs/>
        </w:rPr>
        <w:t>2</w:t>
      </w:r>
      <w:r>
        <w:rPr>
          <w:b/>
          <w:bCs/>
          <w:szCs w:val="24"/>
        </w:rPr>
        <w:t xml:space="preserve">: </w:t>
      </w:r>
      <w:r>
        <w:rPr>
          <w:szCs w:val="24"/>
        </w:rPr>
        <w:t xml:space="preserve">Inhibition zone of the four pathogens (in mm) in the root extracts of </w:t>
      </w:r>
      <w:r>
        <w:rPr>
          <w:i/>
          <w:iCs/>
          <w:szCs w:val="24"/>
        </w:rPr>
        <w:t>V</w:t>
      </w:r>
      <w:r>
        <w:rPr>
          <w:szCs w:val="24"/>
        </w:rPr>
        <w:t>.sinaiticum</w:t>
      </w:r>
      <w:r>
        <w:tab/>
      </w:r>
      <w:r>
        <w:fldChar w:fldCharType="begin"/>
      </w:r>
      <w:r>
        <w:instrText xml:space="preserve"> PAGEREF _Toc20504 </w:instrText>
      </w:r>
      <w:r>
        <w:fldChar w:fldCharType="separate"/>
      </w:r>
      <w:r>
        <w:t>18</w:t>
      </w:r>
      <w:r>
        <w:fldChar w:fldCharType="end"/>
      </w:r>
      <w:r>
        <w:fldChar w:fldCharType="end"/>
      </w:r>
    </w:p>
    <w:p>
      <w:pPr>
        <w:pStyle w:val="9"/>
        <w:tabs>
          <w:tab w:val="right" w:leader="dot" w:pos="8640"/>
        </w:tabs>
        <w:ind w:left="962" w:hanging="482"/>
        <w:rPr>
          <w:b/>
          <w:bCs/>
        </w:rPr>
      </w:pPr>
      <w:r>
        <w:fldChar w:fldCharType="begin"/>
      </w:r>
      <w:r>
        <w:instrText xml:space="preserve"> HYPERLINK \l "_Toc6014" </w:instrText>
      </w:r>
      <w:r>
        <w:fldChar w:fldCharType="separate"/>
      </w:r>
      <w:r>
        <w:rPr>
          <w:b/>
          <w:bCs/>
          <w:szCs w:val="24"/>
        </w:rPr>
        <w:t xml:space="preserve">Table </w:t>
      </w:r>
      <w:r>
        <w:rPr>
          <w:b/>
          <w:bCs/>
        </w:rPr>
        <w:t>3</w:t>
      </w:r>
      <w:r>
        <w:rPr>
          <w:b/>
          <w:bCs/>
          <w:szCs w:val="24"/>
        </w:rPr>
        <w:t xml:space="preserve">: </w:t>
      </w:r>
      <w:r>
        <w:rPr>
          <w:szCs w:val="24"/>
        </w:rPr>
        <w:t xml:space="preserve">Mean zone of inhibition of crude chloroform and methanol extracts of </w:t>
      </w:r>
      <w:r>
        <w:rPr>
          <w:i/>
          <w:iCs/>
          <w:szCs w:val="24"/>
        </w:rPr>
        <w:t>V. sinaiticum</w:t>
      </w:r>
      <w:r>
        <w:tab/>
      </w:r>
      <w:r>
        <w:fldChar w:fldCharType="begin"/>
      </w:r>
      <w:r>
        <w:instrText xml:space="preserve"> PAGEREF _Toc6014 </w:instrText>
      </w:r>
      <w:r>
        <w:fldChar w:fldCharType="separate"/>
      </w:r>
      <w:r>
        <w:t>19</w:t>
      </w:r>
      <w:r>
        <w:fldChar w:fldCharType="end"/>
      </w:r>
      <w:r>
        <w:fldChar w:fldCharType="end"/>
      </w:r>
    </w:p>
    <w:p>
      <w:pPr>
        <w:pStyle w:val="9"/>
        <w:tabs>
          <w:tab w:val="right" w:leader="dot" w:pos="8640"/>
        </w:tabs>
        <w:ind w:left="962" w:hanging="482"/>
        <w:rPr>
          <w:b/>
          <w:bCs/>
        </w:rPr>
      </w:pPr>
      <w:r>
        <w:fldChar w:fldCharType="begin"/>
      </w:r>
      <w:r>
        <w:instrText xml:space="preserve"> HYPERLINK \l "_Toc25209" </w:instrText>
      </w:r>
      <w:r>
        <w:fldChar w:fldCharType="separate"/>
      </w:r>
      <w:r>
        <w:rPr>
          <w:b/>
          <w:bCs/>
          <w:szCs w:val="24"/>
        </w:rPr>
        <w:t xml:space="preserve">Table </w:t>
      </w:r>
      <w:r>
        <w:rPr>
          <w:b/>
          <w:bCs/>
        </w:rPr>
        <w:t>4</w:t>
      </w:r>
      <w:r>
        <w:rPr>
          <w:b/>
          <w:bCs/>
          <w:szCs w:val="24"/>
        </w:rPr>
        <w:t xml:space="preserve">: </w:t>
      </w:r>
      <w:r>
        <w:rPr>
          <w:szCs w:val="24"/>
        </w:rPr>
        <w:t>FRAP results of methanol extract</w:t>
      </w:r>
      <w:r>
        <w:tab/>
      </w:r>
      <w:r>
        <w:fldChar w:fldCharType="begin"/>
      </w:r>
      <w:r>
        <w:instrText xml:space="preserve"> PAGEREF _Toc25209 </w:instrText>
      </w:r>
      <w:r>
        <w:fldChar w:fldCharType="separate"/>
      </w:r>
      <w:r>
        <w:t>20</w:t>
      </w:r>
      <w:r>
        <w:fldChar w:fldCharType="end"/>
      </w:r>
      <w:r>
        <w:fldChar w:fldCharType="end"/>
      </w:r>
    </w:p>
    <w:p>
      <w:pPr>
        <w:pStyle w:val="9"/>
        <w:tabs>
          <w:tab w:val="right" w:leader="dot" w:pos="8640"/>
        </w:tabs>
        <w:ind w:left="962" w:hanging="482"/>
        <w:rPr>
          <w:b/>
          <w:bCs/>
        </w:rPr>
      </w:pPr>
      <w:r>
        <w:fldChar w:fldCharType="begin"/>
      </w:r>
      <w:r>
        <w:instrText xml:space="preserve"> HYPERLINK \l "_Toc30542" </w:instrText>
      </w:r>
      <w:r>
        <w:fldChar w:fldCharType="separate"/>
      </w:r>
      <w:r>
        <w:rPr>
          <w:b/>
          <w:bCs/>
          <w:szCs w:val="24"/>
        </w:rPr>
        <w:t xml:space="preserve">Table </w:t>
      </w:r>
      <w:r>
        <w:rPr>
          <w:b/>
          <w:bCs/>
        </w:rPr>
        <w:t>5</w:t>
      </w:r>
      <w:r>
        <w:rPr>
          <w:b/>
          <w:bCs/>
          <w:szCs w:val="24"/>
        </w:rPr>
        <w:t xml:space="preserve">: </w:t>
      </w:r>
      <w:r>
        <w:rPr>
          <w:szCs w:val="24"/>
        </w:rPr>
        <w:t xml:space="preserve">Antioxidants of chloroform and methanol extracts of </w:t>
      </w:r>
      <w:r>
        <w:rPr>
          <w:i/>
          <w:iCs/>
          <w:szCs w:val="24"/>
        </w:rPr>
        <w:t>V. sinaiticum</w:t>
      </w:r>
      <w:r>
        <w:tab/>
      </w:r>
      <w:r>
        <w:fldChar w:fldCharType="begin"/>
      </w:r>
      <w:r>
        <w:instrText xml:space="preserve"> PAGEREF _Toc30542 </w:instrText>
      </w:r>
      <w:r>
        <w:fldChar w:fldCharType="separate"/>
      </w:r>
      <w:r>
        <w:t>21</w:t>
      </w:r>
      <w:r>
        <w:fldChar w:fldCharType="end"/>
      </w:r>
      <w:r>
        <w:fldChar w:fldCharType="end"/>
      </w:r>
    </w:p>
    <w:p>
      <w:pPr>
        <w:pStyle w:val="2"/>
        <w:jc w:val="both"/>
        <w:rPr>
          <w:rFonts w:ascii="Times New Roman" w:hAnsi="Times New Roman"/>
          <w:color w:val="auto"/>
          <w:sz w:val="24"/>
          <w:szCs w:val="24"/>
        </w:rPr>
      </w:pPr>
      <w:r>
        <w:rPr>
          <w:rFonts w:ascii="Times New Roman" w:hAnsi="Times New Roman"/>
          <w:color w:val="auto"/>
          <w:szCs w:val="24"/>
        </w:rPr>
        <w:fldChar w:fldCharType="end"/>
      </w:r>
    </w:p>
    <w:p>
      <w:pPr>
        <w:jc w:val="both"/>
        <w:rPr>
          <w:b/>
          <w:bCs/>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pStyle w:val="2"/>
        <w:jc w:val="both"/>
        <w:rPr>
          <w:rFonts w:ascii="Times New Roman" w:hAnsi="Times New Roman"/>
          <w:color w:val="auto"/>
          <w:sz w:val="24"/>
          <w:szCs w:val="24"/>
        </w:rPr>
      </w:pPr>
      <w:bookmarkStart w:id="7" w:name="_Toc3165"/>
      <w:r>
        <w:rPr>
          <w:rFonts w:ascii="Times New Roman" w:hAnsi="Times New Roman"/>
          <w:color w:val="auto"/>
          <w:sz w:val="24"/>
          <w:szCs w:val="24"/>
        </w:rPr>
        <w:t>ABSTRACT</w:t>
      </w:r>
      <w:bookmarkEnd w:id="7"/>
    </w:p>
    <w:p>
      <w:pPr>
        <w:jc w:val="both"/>
      </w:pPr>
      <w:r>
        <w:rPr>
          <w:i/>
          <w:iCs/>
          <w:szCs w:val="24"/>
        </w:rPr>
        <w:t>Verbascum sinaiticum (Local name ‘yeahiya joro’) is a plant having a height of 60–150 cm. It is traditionally used to treat wound, stomachache, viral infection, cancer, sunstroke, fever, abdominal colic, diarrhea, hemorrhage, anthrax, and hepatitis. The present work investigates the phytochemical screening, antioxidant activities, and antibacterial activities.</w:t>
      </w:r>
      <w:r>
        <w:rPr>
          <w:i/>
          <w:szCs w:val="24"/>
        </w:rPr>
        <w:t xml:space="preserve">The roots of V. sinaiticum were extracted with increasing gradient of organic solvents (petroleum ether, chloroform and methanol). </w:t>
      </w:r>
      <w:r>
        <w:rPr>
          <w:i/>
          <w:iCs/>
          <w:szCs w:val="24"/>
        </w:rPr>
        <w:t xml:space="preserve">The methanol and chloroform extracts of the roots of V. sinaiticum showed similar phytoconstituents. However, the extracts of the latter solvent do not show alkaloids, tannins and phenols. Antioxidant activity was assayed by 2,2- diphenyl-1- picrylhydrazyl and ferric reducing antioxidant power methods. </w:t>
      </w:r>
      <w:r>
        <w:rPr>
          <w:i/>
          <w:szCs w:val="24"/>
        </w:rPr>
        <w:t xml:space="preserve">The antioxidant power of standard ascorbic acid was found to be 73.42±0.094% and the solvent extract was found to be: methanol 44.55±0.036% and chloroform 9.15±0.109%. The methanol extract of the plant exhibited the higher radical scavenging activity than chloroform extracts radical scavenging activity. The ability of reducing power of methanolic extract (% Inhibition 88.72%) was lower than the standard antioxidant, ascorbic acid (% inhibition 98.63%). Evaluation of antibacterial activity of crude extracts of V.sinaiticum against Escherichia coli, Staphylococcus aureus, Klebsiella pneumonia and Staphylococcus </w:t>
      </w:r>
      <w:r>
        <w:rPr>
          <w:i/>
          <w:iCs/>
          <w:szCs w:val="24"/>
        </w:rPr>
        <w:t xml:space="preserve">pyogines and </w:t>
      </w:r>
      <w:r>
        <w:rPr>
          <w:i/>
          <w:szCs w:val="24"/>
        </w:rPr>
        <w:t xml:space="preserve">chloroform extracts exhibited higher antibacterial activity than chloroform extracts. The maximum activity of methanol extract was seen against Staphylococcus aureus at concentration of 100 mg/mL and the minimum activity was seen against </w:t>
      </w:r>
      <w:r>
        <w:rPr>
          <w:rFonts w:eastAsia="Garamond"/>
          <w:i/>
          <w:szCs w:val="24"/>
        </w:rPr>
        <w:t>Streptococcus</w:t>
      </w:r>
      <w:r>
        <w:rPr>
          <w:i/>
          <w:iCs/>
          <w:szCs w:val="24"/>
        </w:rPr>
        <w:t xml:space="preserve"> pyogenes </w:t>
      </w:r>
      <w:r>
        <w:rPr>
          <w:i/>
          <w:szCs w:val="24"/>
        </w:rPr>
        <w:t>at the concentration of 75 mg/mL. As concentration increases the antibacterial activities were increases.</w:t>
      </w:r>
    </w:p>
    <w:p>
      <w:pPr>
        <w:jc w:val="both"/>
        <w:rPr>
          <w:rFonts w:eastAsia="TimesNewRomanPSMT"/>
          <w:i/>
          <w:szCs w:val="24"/>
        </w:rPr>
        <w:sectPr>
          <w:footerReference r:id="rId7" w:type="default"/>
          <w:type w:val="continuous"/>
          <w:pgSz w:w="12240" w:h="16340"/>
          <w:pgMar w:top="1440" w:right="1800" w:bottom="1440" w:left="1800" w:header="720" w:footer="720" w:gutter="0"/>
          <w:pgNumType w:fmt="lowerRoman" w:start="1"/>
          <w:cols w:space="720" w:num="1"/>
        </w:sectPr>
      </w:pPr>
    </w:p>
    <w:p>
      <w:pPr>
        <w:pStyle w:val="2"/>
        <w:jc w:val="both"/>
        <w:rPr>
          <w:rFonts w:ascii="Times New Roman" w:hAnsi="Times New Roman"/>
          <w:color w:val="auto"/>
          <w:sz w:val="24"/>
          <w:szCs w:val="24"/>
        </w:rPr>
        <w:sectPr>
          <w:type w:val="continuous"/>
          <w:pgSz w:w="12240" w:h="16340"/>
          <w:pgMar w:top="1440" w:right="1800" w:bottom="1440" w:left="1800" w:header="720" w:footer="720" w:gutter="0"/>
          <w:pgNumType w:fmt="lowerRoman"/>
          <w:cols w:space="720" w:num="1"/>
        </w:sectPr>
      </w:pPr>
    </w:p>
    <w:p>
      <w:pPr>
        <w:pStyle w:val="2"/>
        <w:jc w:val="both"/>
        <w:rPr>
          <w:rFonts w:ascii="Times New Roman" w:hAnsi="Times New Roman"/>
          <w:color w:val="auto"/>
        </w:rPr>
      </w:pPr>
      <w:bookmarkStart w:id="8" w:name="_Toc12747"/>
      <w:r>
        <w:rPr>
          <w:rFonts w:ascii="Times New Roman" w:hAnsi="Times New Roman"/>
          <w:color w:val="auto"/>
        </w:rPr>
        <w:t>1.  INTRODUCTION</w:t>
      </w:r>
      <w:bookmarkEnd w:id="3"/>
      <w:bookmarkEnd w:id="8"/>
    </w:p>
    <w:p>
      <w:pPr>
        <w:pStyle w:val="3"/>
        <w:jc w:val="both"/>
        <w:rPr>
          <w:rFonts w:ascii="Times New Roman" w:hAnsi="Times New Roman"/>
          <w:color w:val="auto"/>
          <w:sz w:val="24"/>
          <w:szCs w:val="24"/>
        </w:rPr>
      </w:pPr>
      <w:bookmarkStart w:id="9" w:name="_Toc500733939"/>
      <w:bookmarkStart w:id="10" w:name="_Toc3232"/>
      <w:r>
        <w:rPr>
          <w:rFonts w:ascii="Times New Roman" w:hAnsi="Times New Roman"/>
          <w:color w:val="auto"/>
          <w:sz w:val="24"/>
          <w:szCs w:val="24"/>
        </w:rPr>
        <w:t>1.1 Background of the study</w:t>
      </w:r>
      <w:bookmarkEnd w:id="9"/>
      <w:bookmarkEnd w:id="10"/>
    </w:p>
    <w:p>
      <w:pPr>
        <w:autoSpaceDE w:val="0"/>
        <w:autoSpaceDN w:val="0"/>
        <w:adjustRightInd w:val="0"/>
        <w:jc w:val="both"/>
        <w:rPr>
          <w:szCs w:val="24"/>
        </w:rPr>
      </w:pPr>
      <w:r>
        <w:rPr>
          <w:szCs w:val="24"/>
        </w:rPr>
        <w:t xml:space="preserve">The use of herbal products for medicinal benefits has played an important role in nearly every culture on earth. Herbal medicine was practiced by ancient people of Africa, Asia, Europe and the Americas. Over 50% of all modern clinical drugs are of natural product origin and natural products play an important role in drug development programs of the pharmaceutical industry [1, 2]. Historically, some plants have played a significant role for traditional medication. Through observation and experimentation, human beings have learn about some traditional medicinal plants which used to promote health. These traditional medicines can be of plant or animal origin and are less costly compared to modern medicines. They can be used singularly or in combination to treat, diagnose and prevent illnesses and maintain well being [1, 2]. The consumption of a variety of local herbs and vegetables by man is believed to contribute significantly to the improvement of human health, in terms of prevention, and or cure of diseases because plants have long served as a useful and rational source of therapeutic agents [3]. </w:t>
      </w:r>
    </w:p>
    <w:p>
      <w:pPr>
        <w:autoSpaceDE w:val="0"/>
        <w:autoSpaceDN w:val="0"/>
        <w:adjustRightInd w:val="0"/>
        <w:jc w:val="both"/>
        <w:rPr>
          <w:szCs w:val="24"/>
        </w:rPr>
      </w:pPr>
      <w:r>
        <w:rPr>
          <w:szCs w:val="24"/>
        </w:rPr>
        <w:t xml:space="preserve">Traditional medicine has been practiced in Ethiopia since long time ago. The knowledge, largely oral, has been transferred from one generation to the next through professional healers, knowledgeable elders and/or ordinary people. It is estimated that about 80% of the Ethiopian population is still dependent on traditional medicine, which essentially involves the use of plants [4]. </w:t>
      </w:r>
    </w:p>
    <w:p>
      <w:pPr>
        <w:jc w:val="both"/>
        <w:rPr>
          <w:szCs w:val="24"/>
        </w:rPr>
      </w:pPr>
      <w:r>
        <w:rPr>
          <w:rFonts w:eastAsia="MinionPro-Regular"/>
          <w:szCs w:val="24"/>
        </w:rPr>
        <w:t xml:space="preserve">The family Scrophulariaceae </w:t>
      </w:r>
      <w:r>
        <w:rPr>
          <w:szCs w:val="24"/>
        </w:rPr>
        <w:t>occurs almost throughout the world,</w:t>
      </w:r>
      <w:r>
        <w:rPr>
          <w:rFonts w:eastAsia="MinionPro-Regular"/>
          <w:szCs w:val="24"/>
        </w:rPr>
        <w:t xml:space="preserve"> comprising 300 genera and about 5400-5500 species, mainly found in the tropical mountains. </w:t>
      </w:r>
      <w:r>
        <w:rPr>
          <w:rFonts w:eastAsia="MinionPro-Regular"/>
          <w:i/>
          <w:szCs w:val="24"/>
        </w:rPr>
        <w:t>Verbascum</w:t>
      </w:r>
      <w:r>
        <w:rPr>
          <w:rFonts w:eastAsia="MinionPro-Regular"/>
          <w:szCs w:val="24"/>
        </w:rPr>
        <w:t xml:space="preserve"> is a genus having about 360 species. </w:t>
      </w:r>
      <w:r>
        <w:rPr>
          <w:rFonts w:eastAsia="MinionPro-Regular"/>
          <w:i/>
          <w:szCs w:val="24"/>
        </w:rPr>
        <w:t>Verbascum sinaiticum</w:t>
      </w:r>
      <w:r>
        <w:rPr>
          <w:rFonts w:eastAsia="MinionPro-Regular"/>
          <w:szCs w:val="24"/>
        </w:rPr>
        <w:t xml:space="preserve"> has various Amharic names (</w:t>
      </w:r>
      <w:r>
        <w:rPr>
          <w:rFonts w:eastAsia="MinionPro-Regular"/>
          <w:i/>
          <w:szCs w:val="24"/>
        </w:rPr>
        <w:t xml:space="preserve">qetetina </w:t>
      </w:r>
      <w:r>
        <w:rPr>
          <w:rFonts w:eastAsia="MinionPro-Regular"/>
          <w:szCs w:val="24"/>
        </w:rPr>
        <w:t xml:space="preserve">[5], </w:t>
      </w:r>
      <w:r>
        <w:rPr>
          <w:i/>
          <w:szCs w:val="24"/>
        </w:rPr>
        <w:t xml:space="preserve">yeferes zeng </w:t>
      </w:r>
      <w:r>
        <w:rPr>
          <w:szCs w:val="24"/>
        </w:rPr>
        <w:t xml:space="preserve">[6], </w:t>
      </w:r>
      <w:r>
        <w:rPr>
          <w:i/>
          <w:szCs w:val="24"/>
        </w:rPr>
        <w:t>Yahiya joro</w:t>
      </w:r>
      <w:r>
        <w:rPr>
          <w:szCs w:val="24"/>
        </w:rPr>
        <w:t xml:space="preserve">. In Afan Oromo, the plant is referred to as </w:t>
      </w:r>
      <w:r>
        <w:rPr>
          <w:i/>
          <w:szCs w:val="24"/>
        </w:rPr>
        <w:t>gurraa harree</w:t>
      </w:r>
      <w:r>
        <w:rPr>
          <w:szCs w:val="24"/>
        </w:rPr>
        <w:t xml:space="preserve"> [7, 8]. It</w:t>
      </w:r>
      <w:r>
        <w:rPr>
          <w:rFonts w:eastAsia="MinionPro-Regular"/>
          <w:szCs w:val="24"/>
        </w:rPr>
        <w:t xml:space="preserve"> is a </w:t>
      </w:r>
      <w:r>
        <w:rPr>
          <w:iCs/>
          <w:szCs w:val="24"/>
        </w:rPr>
        <w:t xml:space="preserve">plant having a height of </w:t>
      </w:r>
      <w:r>
        <w:rPr>
          <w:rFonts w:eastAsia="MinionPro-Regular"/>
          <w:szCs w:val="24"/>
        </w:rPr>
        <w:t xml:space="preserve">60-150 cm tall and is distributed on the cultivated ground and on grassland. The figure of the </w:t>
      </w:r>
      <w:r>
        <w:rPr>
          <w:rFonts w:eastAsia="MinionPro-Regular"/>
          <w:i/>
          <w:szCs w:val="24"/>
        </w:rPr>
        <w:t>verbascum sinaiticum</w:t>
      </w:r>
      <w:r>
        <w:rPr>
          <w:rFonts w:eastAsia="MinionPro-Regular"/>
          <w:szCs w:val="24"/>
        </w:rPr>
        <w:t xml:space="preserve"> below was taken from Ada Barga Woreda , West shoa Zone about 100km from Addis Ababa  in October 20, 2017. </w:t>
      </w:r>
    </w:p>
    <w:p>
      <w:pPr>
        <w:autoSpaceDE w:val="0"/>
        <w:autoSpaceDN w:val="0"/>
        <w:adjustRightInd w:val="0"/>
        <w:jc w:val="both"/>
        <w:rPr>
          <w:szCs w:val="24"/>
        </w:rPr>
      </w:pPr>
      <w:r>
        <w:rPr>
          <w:rFonts w:eastAsia="MinionPro-Regular"/>
          <w:szCs w:val="24"/>
        </w:rPr>
        <w:t xml:space="preserve">The leaves and roots of </w:t>
      </w:r>
      <w:r>
        <w:rPr>
          <w:rFonts w:eastAsia="MinionPro-Regular"/>
          <w:i/>
          <w:szCs w:val="24"/>
        </w:rPr>
        <w:t>V. sinaiticum</w:t>
      </w:r>
      <w:r>
        <w:rPr>
          <w:rFonts w:eastAsia="MinionPro-Regular"/>
          <w:szCs w:val="24"/>
        </w:rPr>
        <w:t xml:space="preserve"> are traditionally used for the treatment of various health ailments including wounds, stomachache, viral infections like </w:t>
      </w:r>
      <w:r>
        <w:rPr>
          <w:szCs w:val="24"/>
        </w:rPr>
        <w:t>‘</w:t>
      </w:r>
      <w:r>
        <w:rPr>
          <w:i/>
          <w:szCs w:val="24"/>
        </w:rPr>
        <w:t>almaz balechira</w:t>
      </w:r>
      <w:r>
        <w:rPr>
          <w:szCs w:val="24"/>
        </w:rPr>
        <w:t>’</w:t>
      </w:r>
      <w:r>
        <w:rPr>
          <w:rFonts w:eastAsia="MinionPro-Regular"/>
          <w:szCs w:val="24"/>
        </w:rPr>
        <w:t xml:space="preserve">, cancer, sun stroke, fever, abdominal colic, diarrhea, hemorrhage, anthrax, </w:t>
      </w:r>
      <w:r>
        <w:rPr>
          <w:szCs w:val="24"/>
        </w:rPr>
        <w:t>mental illness, amnesia, tape warm, syphilis, gonorrhoea, relapsing fever, rheumatic pain, elephanthiasis</w:t>
      </w:r>
      <w:r>
        <w:rPr>
          <w:rFonts w:eastAsia="MinionPro-Regular"/>
          <w:szCs w:val="24"/>
        </w:rPr>
        <w:t xml:space="preserve">, hepatitis, etc. [5, 7, 9-16]. </w:t>
      </w:r>
    </w:p>
    <w:p>
      <w:pPr>
        <w:autoSpaceDE w:val="0"/>
        <w:autoSpaceDN w:val="0"/>
        <w:adjustRightInd w:val="0"/>
        <w:jc w:val="both"/>
        <w:rPr>
          <w:szCs w:val="24"/>
        </w:rPr>
      </w:pPr>
    </w:p>
    <w:p>
      <w:pPr>
        <w:tabs>
          <w:tab w:val="right" w:pos="9360"/>
        </w:tabs>
        <w:autoSpaceDE w:val="0"/>
        <w:autoSpaceDN w:val="0"/>
        <w:adjustRightInd w:val="0"/>
        <w:jc w:val="both"/>
        <w:rPr>
          <w:szCs w:val="24"/>
        </w:rPr>
      </w:pPr>
      <w:r>
        <w:rPr>
          <w:szCs w:val="24"/>
        </w:rPr>
        <w:drawing>
          <wp:inline distT="0" distB="0" distL="0" distR="0">
            <wp:extent cx="3123565" cy="2478405"/>
            <wp:effectExtent l="0" t="0" r="635" b="17145"/>
            <wp:docPr id="1" name="Picture 1" descr="Description: IMG_20171031_135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IMG_20171031_13503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3123565" cy="2478405"/>
                    </a:xfrm>
                    <a:prstGeom prst="rect">
                      <a:avLst/>
                    </a:prstGeom>
                    <a:noFill/>
                    <a:ln>
                      <a:noFill/>
                    </a:ln>
                  </pic:spPr>
                </pic:pic>
              </a:graphicData>
            </a:graphic>
          </wp:inline>
        </w:drawing>
      </w:r>
      <w:r>
        <w:rPr>
          <w:szCs w:val="24"/>
        </w:rPr>
        <w:tab/>
      </w:r>
    </w:p>
    <w:p>
      <w:pPr>
        <w:pStyle w:val="6"/>
        <w:autoSpaceDE w:val="0"/>
        <w:autoSpaceDN w:val="0"/>
        <w:adjustRightInd w:val="0"/>
        <w:ind w:firstLine="1201" w:firstLineChars="500"/>
        <w:jc w:val="both"/>
        <w:rPr>
          <w:rFonts w:ascii="Times New Roman" w:hAnsi="Times New Roman" w:eastAsia="MinionPro-Regular" w:cs="Times New Roman"/>
          <w:szCs w:val="24"/>
        </w:rPr>
      </w:pPr>
      <w:r>
        <w:rPr>
          <w:rFonts w:ascii="Times New Roman" w:hAnsi="Times New Roman" w:cs="Times New Roman"/>
          <w:b/>
          <w:sz w:val="24"/>
          <w:szCs w:val="24"/>
        </w:rPr>
        <w:t xml:space="preserve">Figure </w:t>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SEQ Figure \* ARABIC </w:instrText>
      </w:r>
      <w:r>
        <w:rPr>
          <w:rFonts w:ascii="Times New Roman" w:hAnsi="Times New Roman" w:cs="Times New Roman"/>
          <w:b/>
          <w:sz w:val="24"/>
          <w:szCs w:val="24"/>
        </w:rPr>
        <w:fldChar w:fldCharType="separate"/>
      </w:r>
      <w:r>
        <w:rPr>
          <w:rFonts w:ascii="Times New Roman" w:hAnsi="Times New Roman" w:cs="Times New Roman"/>
          <w:b/>
          <w:sz w:val="24"/>
          <w:szCs w:val="24"/>
        </w:rPr>
        <w:t>1</w:t>
      </w:r>
      <w:r>
        <w:rPr>
          <w:rFonts w:ascii="Times New Roman" w:hAnsi="Times New Roman" w:cs="Times New Roman"/>
          <w:b/>
          <w:sz w:val="24"/>
          <w:szCs w:val="24"/>
        </w:rPr>
        <w:fldChar w:fldCharType="end"/>
      </w:r>
      <w:bookmarkStart w:id="11" w:name="_Toc1305"/>
      <w:r>
        <w:rPr>
          <w:rFonts w:ascii="Times New Roman" w:hAnsi="Times New Roman" w:cs="Times New Roman"/>
          <w:b/>
          <w:sz w:val="24"/>
          <w:szCs w:val="24"/>
        </w:rPr>
        <w:t>:</w:t>
      </w:r>
      <w:r>
        <w:rPr>
          <w:rFonts w:ascii="Times New Roman" w:hAnsi="Times New Roman" w:cs="Times New Roman"/>
          <w:i/>
          <w:iCs/>
          <w:sz w:val="24"/>
          <w:szCs w:val="24"/>
        </w:rPr>
        <w:t xml:space="preserve"> Verbascum sinaiticum</w:t>
      </w:r>
      <w:r>
        <w:rPr>
          <w:rFonts w:ascii="Times New Roman" w:hAnsi="Times New Roman" w:cs="Times New Roman"/>
          <w:sz w:val="24"/>
          <w:szCs w:val="24"/>
        </w:rPr>
        <w:t xml:space="preserve"> plant</w:t>
      </w:r>
      <w:bookmarkEnd w:id="11"/>
    </w:p>
    <w:p>
      <w:pPr>
        <w:pStyle w:val="2"/>
        <w:jc w:val="both"/>
        <w:rPr>
          <w:rFonts w:ascii="Times New Roman" w:hAnsi="Times New Roman"/>
          <w:color w:val="auto"/>
          <w:sz w:val="24"/>
          <w:szCs w:val="24"/>
        </w:rPr>
      </w:pPr>
      <w:bookmarkStart w:id="12" w:name="_Toc500733940"/>
      <w:bookmarkStart w:id="13" w:name="_Toc26227"/>
      <w:r>
        <w:rPr>
          <w:rStyle w:val="21"/>
          <w:rFonts w:ascii="Times New Roman" w:hAnsi="Times New Roman"/>
          <w:b/>
          <w:bCs/>
          <w:color w:val="auto"/>
          <w:sz w:val="24"/>
          <w:szCs w:val="24"/>
        </w:rPr>
        <w:t>1.2 Statement of the problem</w:t>
      </w:r>
      <w:bookmarkEnd w:id="12"/>
      <w:bookmarkEnd w:id="13"/>
      <w:r>
        <w:rPr>
          <w:rFonts w:ascii="Times New Roman" w:hAnsi="Times New Roman"/>
          <w:color w:val="auto"/>
          <w:sz w:val="24"/>
          <w:szCs w:val="24"/>
        </w:rPr>
        <w:tab/>
      </w:r>
    </w:p>
    <w:p>
      <w:pPr>
        <w:autoSpaceDE w:val="0"/>
        <w:autoSpaceDN w:val="0"/>
        <w:adjustRightInd w:val="0"/>
        <w:jc w:val="both"/>
        <w:rPr>
          <w:szCs w:val="24"/>
        </w:rPr>
      </w:pPr>
      <w:bookmarkStart w:id="14" w:name="_Toc485676623"/>
      <w:r>
        <w:rPr>
          <w:szCs w:val="24"/>
        </w:rPr>
        <w:t xml:space="preserve">The leaves and roots of the plant </w:t>
      </w:r>
      <w:r>
        <w:rPr>
          <w:i/>
          <w:szCs w:val="24"/>
        </w:rPr>
        <w:t>Verbascum sinaiticum</w:t>
      </w:r>
      <w:r>
        <w:rPr>
          <w:szCs w:val="24"/>
        </w:rPr>
        <w:t xml:space="preserve"> have been used traditionally for the treatment of a multitude of health problems of both humans and some domestic animals. There are some reports in the literature on the uses of the leaves of this plant for treatment of health problems [9-16]. However, survey of the scientific literature using the search machine </w:t>
      </w:r>
      <w:r>
        <w:rPr>
          <w:i/>
          <w:szCs w:val="24"/>
        </w:rPr>
        <w:t>Google</w:t>
      </w:r>
      <w:r>
        <w:rPr>
          <w:szCs w:val="24"/>
        </w:rPr>
        <w:t xml:space="preserve"> revealed no reports on the traditional medical uses of the roots of this plant in Ethiopia. It is thus felt worth to investigate the medical application of the roots of this plant by investigating the antioxidant and antimicrobial activities of its extract. Attempt shall also be made to isolate and characterize some chemical constituent of the roots of the plant. </w:t>
      </w:r>
      <w:bookmarkEnd w:id="14"/>
    </w:p>
    <w:p>
      <w:pPr>
        <w:pStyle w:val="3"/>
        <w:jc w:val="both"/>
        <w:rPr>
          <w:rStyle w:val="21"/>
          <w:rFonts w:ascii="Times New Roman" w:hAnsi="Times New Roman"/>
          <w:b/>
          <w:bCs/>
          <w:color w:val="auto"/>
          <w:sz w:val="24"/>
          <w:szCs w:val="24"/>
        </w:rPr>
      </w:pPr>
      <w:bookmarkStart w:id="15" w:name="_Toc500733941"/>
      <w:bookmarkStart w:id="16" w:name="_Toc30450"/>
      <w:r>
        <w:rPr>
          <w:rStyle w:val="21"/>
          <w:rFonts w:ascii="Times New Roman" w:hAnsi="Times New Roman"/>
          <w:b/>
          <w:bCs/>
          <w:color w:val="auto"/>
          <w:sz w:val="24"/>
          <w:szCs w:val="24"/>
        </w:rPr>
        <w:t>1. 3 Objectives of the study</w:t>
      </w:r>
      <w:bookmarkEnd w:id="15"/>
      <w:bookmarkEnd w:id="16"/>
    </w:p>
    <w:p>
      <w:pPr>
        <w:pStyle w:val="4"/>
        <w:jc w:val="both"/>
        <w:rPr>
          <w:rFonts w:ascii="Times New Roman" w:hAnsi="Times New Roman"/>
          <w:color w:val="auto"/>
          <w:sz w:val="24"/>
          <w:szCs w:val="24"/>
        </w:rPr>
      </w:pPr>
      <w:bookmarkStart w:id="17" w:name="_Toc5308"/>
      <w:bookmarkStart w:id="18" w:name="_Toc500733942"/>
      <w:r>
        <w:rPr>
          <w:rFonts w:ascii="Times New Roman" w:hAnsi="Times New Roman"/>
          <w:color w:val="auto"/>
          <w:sz w:val="24"/>
          <w:szCs w:val="24"/>
        </w:rPr>
        <w:t>1.3.1 General Objectives</w:t>
      </w:r>
      <w:bookmarkEnd w:id="17"/>
      <w:bookmarkEnd w:id="18"/>
    </w:p>
    <w:p>
      <w:pPr>
        <w:autoSpaceDE w:val="0"/>
        <w:autoSpaceDN w:val="0"/>
        <w:adjustRightInd w:val="0"/>
        <w:jc w:val="both"/>
        <w:rPr>
          <w:szCs w:val="24"/>
        </w:rPr>
      </w:pPr>
      <w:r>
        <w:rPr>
          <w:szCs w:val="24"/>
        </w:rPr>
        <w:t xml:space="preserve">The main objective of this study wasto identify the presence of phytochemical constituents and antimicrobial </w:t>
      </w:r>
      <w:r>
        <w:rPr>
          <w:iCs/>
          <w:szCs w:val="24"/>
        </w:rPr>
        <w:t>activities</w:t>
      </w:r>
      <w:r>
        <w:rPr>
          <w:szCs w:val="24"/>
        </w:rPr>
        <w:t xml:space="preserve">of the root of </w:t>
      </w:r>
      <w:r>
        <w:rPr>
          <w:i/>
          <w:iCs/>
          <w:szCs w:val="24"/>
        </w:rPr>
        <w:t>Verbascum sinaiticum.</w:t>
      </w:r>
      <w:bookmarkStart w:id="19" w:name="_Toc500733943"/>
    </w:p>
    <w:p>
      <w:pPr>
        <w:pStyle w:val="4"/>
        <w:jc w:val="both"/>
        <w:rPr>
          <w:rFonts w:ascii="Times New Roman" w:hAnsi="Times New Roman"/>
          <w:color w:val="auto"/>
          <w:sz w:val="24"/>
          <w:szCs w:val="24"/>
        </w:rPr>
      </w:pPr>
      <w:bookmarkStart w:id="20" w:name="_Toc4605"/>
      <w:r>
        <w:rPr>
          <w:rFonts w:ascii="Times New Roman" w:hAnsi="Times New Roman"/>
          <w:color w:val="auto"/>
          <w:sz w:val="24"/>
          <w:szCs w:val="24"/>
        </w:rPr>
        <w:t>1.3.2 Specific Objectives</w:t>
      </w:r>
      <w:bookmarkEnd w:id="19"/>
      <w:bookmarkEnd w:id="20"/>
    </w:p>
    <w:p>
      <w:r>
        <w:rPr>
          <w:szCs w:val="24"/>
        </w:rPr>
        <w:t>The specific objectives of the study were:</w:t>
      </w:r>
    </w:p>
    <w:p>
      <w:pPr>
        <w:numPr>
          <w:ilvl w:val="0"/>
          <w:numId w:val="1"/>
        </w:numPr>
        <w:autoSpaceDE w:val="0"/>
        <w:autoSpaceDN w:val="0"/>
        <w:adjustRightInd w:val="0"/>
        <w:jc w:val="both"/>
        <w:rPr>
          <w:szCs w:val="24"/>
        </w:rPr>
      </w:pPr>
      <w:r>
        <w:rPr>
          <w:szCs w:val="24"/>
        </w:rPr>
        <w:t xml:space="preserve">Phytochemical screening on the root of </w:t>
      </w:r>
      <w:r>
        <w:rPr>
          <w:i/>
          <w:szCs w:val="24"/>
        </w:rPr>
        <w:t>V. sinaiticum</w:t>
      </w:r>
    </w:p>
    <w:p>
      <w:pPr>
        <w:numPr>
          <w:ilvl w:val="0"/>
          <w:numId w:val="1"/>
        </w:numPr>
        <w:autoSpaceDE w:val="0"/>
        <w:autoSpaceDN w:val="0"/>
        <w:adjustRightInd w:val="0"/>
        <w:jc w:val="both"/>
        <w:rPr>
          <w:szCs w:val="24"/>
        </w:rPr>
      </w:pPr>
      <w:r>
        <w:rPr>
          <w:szCs w:val="24"/>
        </w:rPr>
        <w:t xml:space="preserve">Investigation of antioxidant activities and </w:t>
      </w:r>
    </w:p>
    <w:p>
      <w:pPr>
        <w:numPr>
          <w:ilvl w:val="0"/>
          <w:numId w:val="1"/>
        </w:numPr>
        <w:autoSpaceDE w:val="0"/>
        <w:autoSpaceDN w:val="0"/>
        <w:adjustRightInd w:val="0"/>
        <w:jc w:val="both"/>
        <w:rPr>
          <w:szCs w:val="24"/>
        </w:rPr>
      </w:pPr>
      <w:r>
        <w:rPr>
          <w:szCs w:val="24"/>
        </w:rPr>
        <w:t>Investigation of antibacterial activities</w:t>
      </w:r>
    </w:p>
    <w:p>
      <w:pPr>
        <w:pStyle w:val="2"/>
        <w:jc w:val="both"/>
        <w:rPr>
          <w:rFonts w:ascii="Times New Roman" w:hAnsi="Times New Roman"/>
          <w:color w:val="auto"/>
          <w:sz w:val="24"/>
          <w:szCs w:val="24"/>
        </w:rPr>
      </w:pPr>
      <w:bookmarkStart w:id="21" w:name="_Toc500733944"/>
    </w:p>
    <w:p>
      <w:pPr>
        <w:pStyle w:val="2"/>
        <w:jc w:val="both"/>
        <w:rPr>
          <w:rFonts w:ascii="Times New Roman" w:hAnsi="Times New Roman"/>
          <w:color w:val="auto"/>
          <w:sz w:val="24"/>
          <w:szCs w:val="24"/>
        </w:rPr>
      </w:pPr>
    </w:p>
    <w:p>
      <w:pPr>
        <w:pStyle w:val="2"/>
        <w:jc w:val="both"/>
        <w:rPr>
          <w:rFonts w:ascii="Times New Roman" w:hAnsi="Times New Roman"/>
          <w:color w:val="auto"/>
          <w:sz w:val="24"/>
          <w:szCs w:val="24"/>
        </w:rPr>
      </w:pPr>
    </w:p>
    <w:p>
      <w:pPr>
        <w:jc w:val="both"/>
        <w:rPr>
          <w:szCs w:val="24"/>
        </w:rPr>
      </w:pPr>
    </w:p>
    <w:p>
      <w:pPr>
        <w:pStyle w:val="2"/>
        <w:jc w:val="both"/>
        <w:rPr>
          <w:rFonts w:ascii="Times New Roman" w:hAnsi="Times New Roman"/>
          <w:color w:val="auto"/>
          <w:sz w:val="24"/>
          <w:szCs w:val="24"/>
        </w:rPr>
      </w:pPr>
    </w:p>
    <w:p>
      <w:pPr>
        <w:pStyle w:val="2"/>
        <w:jc w:val="both"/>
        <w:rPr>
          <w:rFonts w:ascii="Times New Roman" w:hAnsi="Times New Roman"/>
          <w:color w:val="auto"/>
        </w:rPr>
      </w:pPr>
    </w:p>
    <w:p/>
    <w:p>
      <w:pPr>
        <w:pStyle w:val="2"/>
        <w:jc w:val="both"/>
        <w:rPr>
          <w:rFonts w:ascii="Times New Roman" w:hAnsi="Times New Roman"/>
          <w:color w:val="auto"/>
        </w:rPr>
      </w:pPr>
      <w:bookmarkStart w:id="22" w:name="_Toc2323"/>
      <w:r>
        <w:rPr>
          <w:rFonts w:ascii="Times New Roman" w:hAnsi="Times New Roman"/>
          <w:color w:val="auto"/>
        </w:rPr>
        <w:t>2. LITERATURE REVIEW</w:t>
      </w:r>
      <w:bookmarkEnd w:id="21"/>
      <w:bookmarkEnd w:id="22"/>
    </w:p>
    <w:p>
      <w:pPr>
        <w:pStyle w:val="3"/>
        <w:jc w:val="both"/>
        <w:rPr>
          <w:rFonts w:ascii="Times New Roman" w:hAnsi="Times New Roman"/>
          <w:color w:val="auto"/>
          <w:sz w:val="24"/>
          <w:szCs w:val="24"/>
        </w:rPr>
      </w:pPr>
      <w:bookmarkStart w:id="23" w:name="_Toc16181"/>
      <w:r>
        <w:rPr>
          <w:rFonts w:ascii="Times New Roman" w:hAnsi="Times New Roman"/>
          <w:color w:val="auto"/>
          <w:sz w:val="24"/>
          <w:szCs w:val="24"/>
        </w:rPr>
        <w:t xml:space="preserve">2.1 </w:t>
      </w:r>
      <w:r>
        <w:rPr>
          <w:rFonts w:ascii="Times New Roman" w:hAnsi="Times New Roman"/>
          <w:i/>
          <w:color w:val="auto"/>
          <w:sz w:val="24"/>
          <w:szCs w:val="24"/>
        </w:rPr>
        <w:t>Verbascum sinaiticum</w:t>
      </w:r>
      <w:r>
        <w:rPr>
          <w:rFonts w:ascii="Times New Roman" w:hAnsi="Times New Roman"/>
          <w:color w:val="auto"/>
          <w:sz w:val="24"/>
          <w:szCs w:val="24"/>
        </w:rPr>
        <w:t xml:space="preserve"> Benth  Family </w:t>
      </w:r>
      <w:r>
        <w:rPr>
          <w:rFonts w:ascii="Times New Roman" w:hAnsi="Times New Roman"/>
          <w:i/>
          <w:color w:val="auto"/>
          <w:sz w:val="24"/>
          <w:szCs w:val="24"/>
        </w:rPr>
        <w:t>Scrophulariaceae</w:t>
      </w:r>
      <w:bookmarkEnd w:id="23"/>
    </w:p>
    <w:p>
      <w:pPr>
        <w:jc w:val="both"/>
        <w:rPr>
          <w:szCs w:val="24"/>
        </w:rPr>
      </w:pPr>
      <w:r>
        <w:rPr>
          <w:rFonts w:eastAsia="T13"/>
          <w:szCs w:val="24"/>
        </w:rPr>
        <w:t xml:space="preserve">The family Scrophulariaceae comprises about 360 genera and 5000-5500 species. </w:t>
      </w:r>
      <w:r>
        <w:rPr>
          <w:szCs w:val="24"/>
        </w:rPr>
        <w:t xml:space="preserve">The genus </w:t>
      </w:r>
      <w:r>
        <w:rPr>
          <w:i/>
          <w:iCs/>
          <w:szCs w:val="24"/>
        </w:rPr>
        <w:t xml:space="preserve">Verbascum </w:t>
      </w:r>
      <w:r>
        <w:rPr>
          <w:szCs w:val="24"/>
        </w:rPr>
        <w:t xml:space="preserve">L. belongs to the tribe </w:t>
      </w:r>
      <w:r>
        <w:rPr>
          <w:i/>
          <w:iCs/>
          <w:szCs w:val="24"/>
        </w:rPr>
        <w:t>Verbasceae</w:t>
      </w:r>
      <w:r>
        <w:rPr>
          <w:szCs w:val="24"/>
        </w:rPr>
        <w:t xml:space="preserve"> of the family Scrophulariaceae and has its main centers of diversity in Turkey, Iran and Pakistan, Ethiopian and it is the largest genus within the Scrophulariaceae. As hybridization is a very frequent phenomenon within </w:t>
      </w:r>
      <w:r>
        <w:rPr>
          <w:i/>
          <w:iCs/>
          <w:szCs w:val="24"/>
        </w:rPr>
        <w:t>Verbascum</w:t>
      </w:r>
      <w:r>
        <w:rPr>
          <w:szCs w:val="24"/>
        </w:rPr>
        <w:t xml:space="preserve">, high morphological variation complicates delimitation of species. </w:t>
      </w:r>
      <w:r>
        <w:rPr>
          <w:i/>
          <w:iCs/>
          <w:szCs w:val="24"/>
        </w:rPr>
        <w:t xml:space="preserve">Verbascum </w:t>
      </w:r>
      <w:r>
        <w:rPr>
          <w:szCs w:val="24"/>
        </w:rPr>
        <w:t xml:space="preserve">species are adapted to the various habitats in different regions, including Rocky Mountains, open forests, roadsides and river banks.It is commonly found in eastern Africa and the Arabian Peninsula. It grows in a wide range of geographic areas in Ethiopia. </w:t>
      </w:r>
      <w:r>
        <w:rPr>
          <w:rFonts w:eastAsia="T13"/>
          <w:szCs w:val="24"/>
        </w:rPr>
        <w:t xml:space="preserve">It is represented in Ethiopia by nine species: </w:t>
      </w:r>
      <w:r>
        <w:rPr>
          <w:rFonts w:eastAsia="SimSun"/>
          <w:i/>
          <w:iCs/>
          <w:szCs w:val="24"/>
        </w:rPr>
        <w:t>Verbascum arbusculum, Verbascum benthamianum, Verbascum chiovendae, Verbascum pubescens, Verbascum scabridum, Verbascum sedgwickianum, Verbascum stelurum, Verbascum sinaiticum and Verbascum valerianifolium</w:t>
      </w:r>
      <w:r>
        <w:rPr>
          <w:rFonts w:eastAsia="SimSun"/>
          <w:szCs w:val="24"/>
        </w:rPr>
        <w:t xml:space="preserve"> [5, 17- 20]</w:t>
      </w:r>
    </w:p>
    <w:p>
      <w:pPr>
        <w:pStyle w:val="3"/>
        <w:jc w:val="both"/>
        <w:rPr>
          <w:rFonts w:ascii="Times New Roman" w:hAnsi="Times New Roman"/>
          <w:color w:val="auto"/>
          <w:sz w:val="24"/>
          <w:szCs w:val="24"/>
        </w:rPr>
      </w:pPr>
      <w:bookmarkStart w:id="24" w:name="_Toc21202"/>
      <w:r>
        <w:rPr>
          <w:rFonts w:ascii="Times New Roman" w:hAnsi="Times New Roman"/>
          <w:color w:val="auto"/>
          <w:sz w:val="24"/>
          <w:szCs w:val="24"/>
        </w:rPr>
        <w:t xml:space="preserve">2.2 Medicinal uses of </w:t>
      </w:r>
      <w:r>
        <w:rPr>
          <w:rFonts w:ascii="Times New Roman" w:hAnsi="Times New Roman"/>
          <w:i/>
          <w:color w:val="auto"/>
          <w:sz w:val="24"/>
          <w:szCs w:val="24"/>
        </w:rPr>
        <w:t>Verbascum</w:t>
      </w:r>
      <w:r>
        <w:rPr>
          <w:rFonts w:ascii="Times New Roman" w:hAnsi="Times New Roman"/>
          <w:color w:val="auto"/>
          <w:sz w:val="24"/>
          <w:szCs w:val="24"/>
        </w:rPr>
        <w:t xml:space="preserve"> species</w:t>
      </w:r>
      <w:bookmarkEnd w:id="24"/>
    </w:p>
    <w:p>
      <w:pPr>
        <w:jc w:val="both"/>
        <w:rPr>
          <w:rFonts w:eastAsia="Times New Roman"/>
          <w:szCs w:val="24"/>
        </w:rPr>
      </w:pPr>
      <w:r>
        <w:rPr>
          <w:rFonts w:eastAsia="Times New Roman"/>
          <w:szCs w:val="24"/>
        </w:rPr>
        <w:t>Since ancient times, it has been used as a medicinal herb. The leaves and flowers are reported to have expectorant and demulcent properties which are used to treat respiratory problems such as bronchitis, dry coughs, whooping cough, tuberculosis, asthma, and hoarseness [21, 23]</w:t>
      </w:r>
    </w:p>
    <w:p>
      <w:pPr>
        <w:jc w:val="both"/>
        <w:rPr>
          <w:rFonts w:eastAsia="TimesNewRomanPSMT"/>
          <w:b/>
          <w:bCs/>
          <w:szCs w:val="24"/>
        </w:rPr>
      </w:pPr>
      <w:r>
        <w:rPr>
          <w:rFonts w:eastAsia="Times New Roman"/>
          <w:szCs w:val="24"/>
        </w:rPr>
        <w:t>The species are also used to treat hemorrhoids, rheumatic pain, superficial fungal infections, wounds and diarrhea, and have inhibitory activities against the murine lymphocytic leukemia and influenza viruses A</w:t>
      </w:r>
      <w:r>
        <w:rPr>
          <w:rFonts w:eastAsia="Times New Roman"/>
          <w:szCs w:val="24"/>
          <w:vertAlign w:val="subscript"/>
        </w:rPr>
        <w:t>2</w:t>
      </w:r>
      <w:r>
        <w:rPr>
          <w:rFonts w:eastAsia="Times New Roman"/>
          <w:szCs w:val="24"/>
        </w:rPr>
        <w:t xml:space="preserve"> and B. The oil made from the flowers is used to help soothe earache and can be applied externally for eczema and other types of inflammatory skin conditions. These species are reported to be mildly diuretic and to have soothing and anti-inflammatory effect on the urinary tract, as well as acting as a mild sedative. </w:t>
      </w:r>
      <w:r>
        <w:rPr>
          <w:szCs w:val="24"/>
        </w:rPr>
        <w:t xml:space="preserve">The aerial parts of </w:t>
      </w:r>
      <w:r>
        <w:rPr>
          <w:i/>
          <w:szCs w:val="24"/>
        </w:rPr>
        <w:t>V. pumilum Boiss.</w:t>
      </w:r>
      <w:r>
        <w:rPr>
          <w:szCs w:val="24"/>
        </w:rPr>
        <w:t xml:space="preserve"> and Heldr. Have been used for anal fistula - they are boiled in a cauldron and the anus is exposed to the vapors as desiccant for wounds; dried and powdered leaves are spread on wounds; and for abdominal pain and bronchitis, leaves are first washed and then decocted to be used as a tea.  </w:t>
      </w:r>
      <w:r>
        <w:rPr>
          <w:rFonts w:eastAsia="Times-Roman"/>
          <w:szCs w:val="24"/>
        </w:rPr>
        <w:t xml:space="preserve">Seeds of </w:t>
      </w:r>
      <w:r>
        <w:rPr>
          <w:i/>
          <w:iCs/>
          <w:szCs w:val="24"/>
        </w:rPr>
        <w:t xml:space="preserve">Verbascum </w:t>
      </w:r>
      <w:r>
        <w:rPr>
          <w:rFonts w:eastAsia="Times-Roman"/>
          <w:szCs w:val="24"/>
        </w:rPr>
        <w:t xml:space="preserve">species are poisonous because of the saponins contained therein. People use these poisonous seeds for hunting fish. </w:t>
      </w:r>
      <w:r>
        <w:rPr>
          <w:i/>
          <w:iCs/>
          <w:szCs w:val="24"/>
        </w:rPr>
        <w:t xml:space="preserve">Verbascum </w:t>
      </w:r>
      <w:r>
        <w:rPr>
          <w:rFonts w:eastAsia="Times-Roman"/>
          <w:szCs w:val="24"/>
        </w:rPr>
        <w:t>species are called “fish plant” in northern Anatolia because of that property</w:t>
      </w:r>
      <w:r>
        <w:rPr>
          <w:rFonts w:eastAsia="Times New Roman"/>
          <w:szCs w:val="24"/>
        </w:rPr>
        <w:t xml:space="preserve"> [11, 18, 21, 23, 31]</w:t>
      </w:r>
    </w:p>
    <w:p>
      <w:pPr>
        <w:pStyle w:val="3"/>
        <w:jc w:val="both"/>
        <w:rPr>
          <w:rFonts w:ascii="Times New Roman" w:hAnsi="Times New Roman"/>
          <w:color w:val="auto"/>
          <w:sz w:val="24"/>
          <w:szCs w:val="24"/>
        </w:rPr>
      </w:pPr>
      <w:bookmarkStart w:id="25" w:name="_Toc7522"/>
      <w:r>
        <w:rPr>
          <w:rFonts w:ascii="Times New Roman" w:hAnsi="Times New Roman"/>
          <w:color w:val="auto"/>
          <w:sz w:val="24"/>
          <w:szCs w:val="24"/>
        </w:rPr>
        <w:t xml:space="preserve">2.3 Biological Ativities of </w:t>
      </w:r>
      <w:r>
        <w:rPr>
          <w:rFonts w:ascii="Times New Roman" w:hAnsi="Times New Roman"/>
          <w:i/>
          <w:iCs/>
          <w:color w:val="auto"/>
          <w:sz w:val="24"/>
          <w:szCs w:val="24"/>
        </w:rPr>
        <w:t>Verbascum</w:t>
      </w:r>
      <w:r>
        <w:rPr>
          <w:rFonts w:ascii="Times New Roman" w:hAnsi="Times New Roman"/>
          <w:color w:val="auto"/>
          <w:sz w:val="24"/>
          <w:szCs w:val="24"/>
        </w:rPr>
        <w:t xml:space="preserve"> Species</w:t>
      </w:r>
      <w:bookmarkEnd w:id="25"/>
    </w:p>
    <w:p>
      <w:pPr>
        <w:jc w:val="both"/>
        <w:rPr>
          <w:rFonts w:eastAsia="TimesNewRomanPSMT"/>
          <w:szCs w:val="24"/>
        </w:rPr>
      </w:pPr>
      <w:r>
        <w:rPr>
          <w:i/>
          <w:iCs/>
          <w:szCs w:val="24"/>
        </w:rPr>
        <w:t xml:space="preserve">Verbascum </w:t>
      </w:r>
      <w:r>
        <w:rPr>
          <w:szCs w:val="24"/>
        </w:rPr>
        <w:t xml:space="preserve">species are used for different purposes in traditional medicine around the world therefore; researchers have tested them for different types of biological activities. </w:t>
      </w:r>
      <w:r>
        <w:rPr>
          <w:rFonts w:eastAsia="Times New Roman"/>
          <w:szCs w:val="24"/>
        </w:rPr>
        <w:t xml:space="preserve">It was found that </w:t>
      </w:r>
      <w:r>
        <w:rPr>
          <w:i/>
          <w:iCs/>
          <w:szCs w:val="24"/>
        </w:rPr>
        <w:t>Verbascum L</w:t>
      </w:r>
      <w:r>
        <w:rPr>
          <w:szCs w:val="24"/>
        </w:rPr>
        <w:t xml:space="preserve">. species showed antimicrobial activity against the Gram (+) bacteria and the yeast, but no activity was seen against the Gram (-) bacteria. Antimicrobial activity was most consistently detected in the species. </w:t>
      </w:r>
      <w:r>
        <w:rPr>
          <w:rFonts w:eastAsia="Times New Roman"/>
          <w:szCs w:val="24"/>
        </w:rPr>
        <w:t xml:space="preserve">Leaf extracts of </w:t>
      </w:r>
      <w:r>
        <w:rPr>
          <w:rFonts w:eastAsia="Times New Roman"/>
          <w:i/>
          <w:szCs w:val="24"/>
        </w:rPr>
        <w:t xml:space="preserve">Verbascum </w:t>
      </w:r>
      <w:r>
        <w:rPr>
          <w:rFonts w:eastAsia="Times New Roman"/>
          <w:szCs w:val="24"/>
        </w:rPr>
        <w:t xml:space="preserve">have been shown to be active against bovine herpes virus type 1, and showed slight antibacterial and antifungal activity. Its methanolic extract has been shown to be effective against mosquito larvae. </w:t>
      </w:r>
      <w:r>
        <w:rPr>
          <w:rFonts w:eastAsia="TimesNewRomanPSMT"/>
          <w:szCs w:val="24"/>
        </w:rPr>
        <w:t xml:space="preserve">A wide range of biological activities have been determined from </w:t>
      </w:r>
      <w:r>
        <w:rPr>
          <w:rFonts w:eastAsia="TimesNewRomanPS-ItalicMT"/>
          <w:i/>
          <w:szCs w:val="24"/>
        </w:rPr>
        <w:t xml:space="preserve">Verbascum </w:t>
      </w:r>
      <w:r>
        <w:rPr>
          <w:rFonts w:eastAsia="TimesNewRomanPSMT"/>
          <w:szCs w:val="24"/>
        </w:rPr>
        <w:t>extracts, including antimicrobial, antioxidant, and antitumor, immune modulatory, antiulcerogenic activities, antinociceptive and anticancer [23].</w:t>
      </w:r>
    </w:p>
    <w:p>
      <w:pPr>
        <w:jc w:val="both"/>
        <w:rPr>
          <w:szCs w:val="24"/>
        </w:rPr>
      </w:pPr>
      <w:r>
        <w:rPr>
          <w:szCs w:val="24"/>
        </w:rPr>
        <w:t xml:space="preserve">The methanolic extracts of the leaves, flowers, roots and seeds of </w:t>
      </w:r>
      <w:r>
        <w:rPr>
          <w:i/>
          <w:iCs/>
          <w:szCs w:val="24"/>
        </w:rPr>
        <w:t xml:space="preserve">V. blattaria, V. bombyciferum, V. chaixii, V.dumulosum, V. nigrum, V. olympicum, V. phlomoides, V.phoeniceum, v. sinaiticum and V.roripifolium </w:t>
      </w:r>
      <w:r>
        <w:rPr>
          <w:szCs w:val="24"/>
        </w:rPr>
        <w:t xml:space="preserve">were studied for their antimicrobial activities. The extracts had a strong antimicrobial activity against </w:t>
      </w:r>
      <w:r>
        <w:rPr>
          <w:i/>
          <w:iCs/>
          <w:szCs w:val="24"/>
        </w:rPr>
        <w:t xml:space="preserve">E. coli, P.aeruginosa, S. aureusand C.albicans </w:t>
      </w:r>
      <w:r>
        <w:rPr>
          <w:iCs/>
          <w:szCs w:val="24"/>
        </w:rPr>
        <w:t>[23- 25].</w:t>
      </w:r>
    </w:p>
    <w:p>
      <w:pPr>
        <w:pStyle w:val="3"/>
        <w:jc w:val="both"/>
        <w:rPr>
          <w:rFonts w:ascii="Times New Roman" w:hAnsi="Times New Roman"/>
          <w:i/>
          <w:iCs/>
          <w:color w:val="auto"/>
          <w:sz w:val="24"/>
          <w:szCs w:val="24"/>
        </w:rPr>
      </w:pPr>
      <w:bookmarkStart w:id="26" w:name="_Toc30510"/>
      <w:r>
        <w:rPr>
          <w:rFonts w:ascii="Times New Roman" w:hAnsi="Times New Roman"/>
          <w:color w:val="auto"/>
          <w:sz w:val="24"/>
          <w:szCs w:val="24"/>
        </w:rPr>
        <w:t xml:space="preserve">2.4 Compounds Isolated from </w:t>
      </w:r>
      <w:r>
        <w:rPr>
          <w:rFonts w:ascii="Times New Roman" w:hAnsi="Times New Roman"/>
          <w:i/>
          <w:iCs/>
          <w:color w:val="auto"/>
          <w:sz w:val="24"/>
          <w:szCs w:val="24"/>
        </w:rPr>
        <w:t>Verbascum sinaiticum</w:t>
      </w:r>
      <w:bookmarkEnd w:id="26"/>
    </w:p>
    <w:p>
      <w:pPr>
        <w:autoSpaceDE w:val="0"/>
        <w:autoSpaceDN w:val="0"/>
        <w:adjustRightInd w:val="0"/>
        <w:jc w:val="both"/>
        <w:rPr>
          <w:rFonts w:eastAsia="Times New Roman"/>
          <w:szCs w:val="24"/>
        </w:rPr>
      </w:pPr>
      <w:r>
        <w:rPr>
          <w:rFonts w:eastAsia="Times New Roman"/>
          <w:szCs w:val="24"/>
        </w:rPr>
        <w:t xml:space="preserve">Several investigators have isolated and characterized a number of chemical compounds from the leaves and aerial parts of </w:t>
      </w:r>
      <w:r>
        <w:rPr>
          <w:rFonts w:eastAsia="Times New Roman"/>
          <w:i/>
          <w:szCs w:val="24"/>
        </w:rPr>
        <w:t>Verbascum sinaiticum</w:t>
      </w:r>
      <w:r>
        <w:rPr>
          <w:rFonts w:eastAsia="Times New Roman"/>
          <w:szCs w:val="24"/>
        </w:rPr>
        <w:t>. Some of the previously isolated compounds include flavonoids, terpenoids, flavonolignans, hydrocarpins, sinaiticins, etc. Representative compounds isolated from the plant include orbol (</w:t>
      </w:r>
      <w:r>
        <w:rPr>
          <w:rFonts w:eastAsia="Times New Roman"/>
          <w:b/>
          <w:szCs w:val="24"/>
        </w:rPr>
        <w:t>1</w:t>
      </w:r>
      <w:r>
        <w:rPr>
          <w:rFonts w:eastAsia="Times New Roman"/>
          <w:szCs w:val="24"/>
        </w:rPr>
        <w:t>), ajugol (</w:t>
      </w:r>
      <w:r>
        <w:rPr>
          <w:rFonts w:eastAsia="Times New Roman"/>
          <w:b/>
          <w:szCs w:val="24"/>
        </w:rPr>
        <w:t>2</w:t>
      </w:r>
      <w:r>
        <w:rPr>
          <w:rFonts w:eastAsia="Times New Roman"/>
          <w:szCs w:val="24"/>
        </w:rPr>
        <w:t>), verbascoside (</w:t>
      </w:r>
      <w:r>
        <w:rPr>
          <w:rFonts w:eastAsia="Times New Roman"/>
          <w:b/>
          <w:szCs w:val="24"/>
        </w:rPr>
        <w:t>3</w:t>
      </w:r>
      <w:r>
        <w:rPr>
          <w:rFonts w:eastAsia="Times New Roman"/>
          <w:szCs w:val="24"/>
        </w:rPr>
        <w:t>), aucubin (</w:t>
      </w:r>
      <w:r>
        <w:rPr>
          <w:rFonts w:eastAsia="Times New Roman"/>
          <w:b/>
          <w:szCs w:val="24"/>
        </w:rPr>
        <w:t>4</w:t>
      </w:r>
      <w:r>
        <w:rPr>
          <w:rFonts w:eastAsia="Times New Roman"/>
          <w:szCs w:val="24"/>
        </w:rPr>
        <w:t>), luteolin (</w:t>
      </w:r>
      <w:r>
        <w:rPr>
          <w:rFonts w:eastAsia="Times New Roman"/>
          <w:b/>
          <w:szCs w:val="24"/>
        </w:rPr>
        <w:t>5</w:t>
      </w:r>
      <w:r>
        <w:rPr>
          <w:rFonts w:eastAsia="Times New Roman"/>
          <w:szCs w:val="24"/>
        </w:rPr>
        <w:t>), orobol 7-0-β-D-glycoside (</w:t>
      </w:r>
      <w:r>
        <w:rPr>
          <w:rFonts w:eastAsia="Times New Roman"/>
          <w:b/>
          <w:szCs w:val="24"/>
        </w:rPr>
        <w:t>6</w:t>
      </w:r>
      <w:r>
        <w:rPr>
          <w:rFonts w:eastAsia="Times New Roman"/>
          <w:szCs w:val="24"/>
        </w:rPr>
        <w:t>), mullien saponin I (</w:t>
      </w:r>
      <w:r>
        <w:rPr>
          <w:rFonts w:eastAsia="Times New Roman"/>
          <w:b/>
          <w:szCs w:val="24"/>
        </w:rPr>
        <w:t>7</w:t>
      </w:r>
      <w:r>
        <w:rPr>
          <w:rFonts w:eastAsia="Times New Roman"/>
          <w:szCs w:val="24"/>
        </w:rPr>
        <w:t>) Figure 2 [26- 30].</w:t>
      </w:r>
    </w:p>
    <w:p>
      <w:pPr>
        <w:autoSpaceDE w:val="0"/>
        <w:autoSpaceDN w:val="0"/>
        <w:adjustRightInd w:val="0"/>
        <w:jc w:val="both"/>
        <w:rPr>
          <w:szCs w:val="24"/>
        </w:rPr>
      </w:pPr>
    </w:p>
    <w:p>
      <w:pPr>
        <w:autoSpaceDE w:val="0"/>
        <w:autoSpaceDN w:val="0"/>
        <w:adjustRightInd w:val="0"/>
        <w:jc w:val="both"/>
        <w:rPr>
          <w:szCs w:val="24"/>
        </w:rPr>
      </w:pPr>
      <w:r>
        <w:object>
          <v:shape id="_x0000_i1025" o:spt="75" type="#_x0000_t75" style="height:73.4pt;width:118.6pt;" o:ole="t" filled="f" o:preferrelative="t" stroked="f" coordsize="21600,21600">
            <v:path/>
            <v:fill on="f" focussize="0,0"/>
            <v:stroke on="f"/>
            <v:imagedata r:id="rId13" o:title=""/>
            <o:lock v:ext="edit" aspectratio="t"/>
            <w10:wrap type="none"/>
            <w10:anchorlock/>
          </v:shape>
          <o:OLEObject Type="Embed" ProgID="ChemDraw.Document.6.0" ShapeID="_x0000_i1025" DrawAspect="Content" ObjectID="_1468075725" r:id="rId12">
            <o:LockedField>false</o:LockedField>
          </o:OLEObject>
        </w:object>
      </w:r>
      <w:r>
        <w:rPr>
          <w:lang w:val="en-US"/>
        </w:rPr>
        <w:t xml:space="preserve">                       </w:t>
      </w:r>
      <w:r>
        <w:object>
          <v:shape id="_x0000_i1026" o:spt="75" type="#_x0000_t75" style="height:65.65pt;width:169.4pt;" o:ole="t" filled="f" o:preferrelative="t" stroked="f" coordsize="21600,21600">
            <v:path/>
            <v:fill on="f" focussize="0,0"/>
            <v:stroke on="f"/>
            <v:imagedata r:id="rId15" o:title=""/>
            <o:lock v:ext="edit" aspectratio="t"/>
            <w10:wrap type="none"/>
            <w10:anchorlock/>
          </v:shape>
          <o:OLEObject Type="Embed" ProgID="ChemDraw.Document.6.0" ShapeID="_x0000_i1026" DrawAspect="Content" ObjectID="_1468075726" r:id="rId14">
            <o:LockedField>false</o:LockedField>
          </o:OLEObject>
        </w:object>
      </w:r>
    </w:p>
    <w:p>
      <w:pPr>
        <w:autoSpaceDE w:val="0"/>
        <w:autoSpaceDN w:val="0"/>
        <w:adjustRightInd w:val="0"/>
        <w:jc w:val="both"/>
        <w:rPr>
          <w:szCs w:val="24"/>
        </w:rPr>
      </w:pPr>
    </w:p>
    <w:p>
      <w:pPr>
        <w:autoSpaceDE w:val="0"/>
        <w:autoSpaceDN w:val="0"/>
        <w:adjustRightInd w:val="0"/>
        <w:jc w:val="both"/>
        <w:rPr>
          <w:b/>
          <w:bCs/>
          <w:szCs w:val="24"/>
        </w:rPr>
      </w:pPr>
      <w:r>
        <w:object>
          <v:shape id="_x0000_i1027" o:spt="75" type="#_x0000_t75" style="height:83.3pt;width:232.25pt;" o:ole="t" filled="f" o:preferrelative="t" stroked="f" coordsize="21600,21600">
            <v:path/>
            <v:fill on="f" focussize="0,0"/>
            <v:stroke on="f"/>
            <v:imagedata r:id="rId17" o:title=""/>
            <o:lock v:ext="edit" aspectratio="t"/>
            <w10:wrap type="none"/>
            <w10:anchorlock/>
          </v:shape>
          <o:OLEObject Type="Embed" ProgID="ChemDraw.Document.6.0" ShapeID="_x0000_i1027" DrawAspect="Content" ObjectID="_1468075727" r:id="rId16">
            <o:LockedField>false</o:LockedField>
          </o:OLEObject>
        </w:object>
      </w:r>
      <w:r>
        <w:rPr>
          <w:lang w:val="en-US"/>
        </w:rPr>
        <w:t xml:space="preserve">               </w:t>
      </w:r>
      <w:r>
        <w:object>
          <v:shape id="_x0000_i1028" o:spt="75" type="#_x0000_t75" style="height:88.25pt;width:144.7pt;" o:ole="t" filled="f" o:preferrelative="t" stroked="f" coordsize="21600,21600">
            <v:path/>
            <v:fill on="f" focussize="0,0"/>
            <v:stroke on="f"/>
            <v:imagedata r:id="rId19" o:title=""/>
            <o:lock v:ext="edit" aspectratio="t"/>
            <w10:wrap type="none"/>
            <w10:anchorlock/>
          </v:shape>
          <o:OLEObject Type="Embed" ProgID="ChemDraw.Document.6.0" ShapeID="_x0000_i1028" DrawAspect="Content" ObjectID="_1468075728" r:id="rId18">
            <o:LockedField>false</o:LockedField>
          </o:OLEObject>
        </w:object>
      </w:r>
    </w:p>
    <w:p>
      <w:pPr>
        <w:autoSpaceDE w:val="0"/>
        <w:autoSpaceDN w:val="0"/>
        <w:adjustRightInd w:val="0"/>
        <w:jc w:val="both"/>
        <w:rPr>
          <w:szCs w:val="24"/>
        </w:rPr>
      </w:pPr>
      <w:r>
        <w:rPr>
          <w:szCs w:val="24"/>
        </w:rPr>
        <w:object>
          <v:shape id="_x0000_i1029" o:spt="75" type="#_x0000_t75" style="height:69.9pt;width:140.45pt;" o:ole="t" filled="f" o:preferrelative="t" stroked="f" coordsize="21600,21600">
            <v:path/>
            <v:fill on="f" focussize="0,0"/>
            <v:stroke on="f" joinstyle="miter"/>
            <v:imagedata r:id="rId21" o:title=""/>
            <o:lock v:ext="edit" aspectratio="t"/>
            <w10:wrap type="none"/>
            <w10:anchorlock/>
          </v:shape>
          <o:OLEObject Type="Embed" ProgID="ChemDraw.Document.6.0" ShapeID="_x0000_i1029" DrawAspect="Content" ObjectID="_1468075729" r:id="rId20">
            <o:LockedField>false</o:LockedField>
          </o:OLEObject>
        </w:object>
      </w:r>
      <w:r>
        <w:rPr>
          <w:szCs w:val="24"/>
          <w:lang w:val="en-US"/>
        </w:rPr>
        <w:t xml:space="preserve">                            </w:t>
      </w:r>
      <w:r>
        <w:rPr>
          <w:szCs w:val="24"/>
        </w:rPr>
        <w:object>
          <v:shape id="_x0000_i1030" o:spt="75" type="#_x0000_t75" style="height:67.75pt;width:165.9pt;" o:ole="t" filled="f" o:preferrelative="t" stroked="f" coordsize="21600,21600">
            <v:path/>
            <v:fill on="f" focussize="0,0"/>
            <v:stroke on="f" joinstyle="miter"/>
            <v:imagedata r:id="rId23" o:title=""/>
            <o:lock v:ext="edit" aspectratio="t"/>
            <w10:wrap type="none"/>
            <w10:anchorlock/>
          </v:shape>
          <o:OLEObject Type="Embed" ProgID="ChemDraw.Document.6.0" ShapeID="_x0000_i1030" DrawAspect="Content" ObjectID="_1468075730" r:id="rId22">
            <o:LockedField>false</o:LockedField>
          </o:OLEObject>
        </w:object>
      </w:r>
    </w:p>
    <w:p>
      <w:pPr>
        <w:autoSpaceDE w:val="0"/>
        <w:autoSpaceDN w:val="0"/>
        <w:adjustRightInd w:val="0"/>
        <w:jc w:val="both"/>
        <w:rPr>
          <w:szCs w:val="24"/>
        </w:rPr>
      </w:pPr>
      <w:r>
        <w:rPr>
          <w:szCs w:val="24"/>
        </w:rPr>
        <w:object>
          <v:shape id="_x0000_i1031" o:spt="75" type="#_x0000_t75" style="height:140.45pt;width:179.3pt;" o:ole="t" filled="f" o:preferrelative="t" stroked="f" coordsize="21600,21600">
            <v:path/>
            <v:fill on="f" focussize="0,0"/>
            <v:stroke on="f" joinstyle="miter"/>
            <v:imagedata r:id="rId25" o:title=""/>
            <o:lock v:ext="edit" aspectratio="t"/>
            <w10:wrap type="none"/>
            <w10:anchorlock/>
          </v:shape>
          <o:OLEObject Type="Embed" ProgID="ChemDraw.Document.6.0" ShapeID="_x0000_i1031" DrawAspect="Content" ObjectID="_1468075731" r:id="rId24">
            <o:LockedField>false</o:LockedField>
          </o:OLEObject>
        </w:object>
      </w:r>
    </w:p>
    <w:p>
      <w:pPr>
        <w:autoSpaceDE w:val="0"/>
        <w:autoSpaceDN w:val="0"/>
        <w:adjustRightInd w:val="0"/>
        <w:ind w:firstLine="2761" w:firstLineChars="1150"/>
        <w:jc w:val="both"/>
        <w:rPr>
          <w:szCs w:val="24"/>
        </w:rPr>
      </w:pPr>
      <w:r>
        <w:rPr>
          <w:b/>
          <w:szCs w:val="24"/>
        </w:rPr>
        <w:t xml:space="preserve">Figure </w:t>
      </w:r>
      <w:r>
        <w:rPr>
          <w:b/>
          <w:szCs w:val="24"/>
        </w:rPr>
        <w:fldChar w:fldCharType="begin"/>
      </w:r>
      <w:r>
        <w:rPr>
          <w:b/>
          <w:szCs w:val="24"/>
        </w:rPr>
        <w:instrText xml:space="preserve"> SEQ Figure \* ARABIC </w:instrText>
      </w:r>
      <w:r>
        <w:rPr>
          <w:b/>
          <w:szCs w:val="24"/>
        </w:rPr>
        <w:fldChar w:fldCharType="separate"/>
      </w:r>
      <w:r>
        <w:rPr>
          <w:b/>
          <w:szCs w:val="24"/>
        </w:rPr>
        <w:t>2</w:t>
      </w:r>
      <w:r>
        <w:rPr>
          <w:b/>
          <w:szCs w:val="24"/>
        </w:rPr>
        <w:fldChar w:fldCharType="end"/>
      </w:r>
      <w:bookmarkStart w:id="27" w:name="_Toc27579"/>
      <w:r>
        <w:rPr>
          <w:bCs/>
          <w:szCs w:val="24"/>
        </w:rPr>
        <w:t>: Co</w:t>
      </w:r>
      <w:r>
        <w:rPr>
          <w:szCs w:val="24"/>
        </w:rPr>
        <w:t xml:space="preserve">mpounds isolated from </w:t>
      </w:r>
      <w:r>
        <w:rPr>
          <w:i/>
          <w:iCs/>
          <w:szCs w:val="24"/>
        </w:rPr>
        <w:t>V. sinaiticum</w:t>
      </w:r>
      <w:bookmarkEnd w:id="27"/>
    </w:p>
    <w:p>
      <w:pPr>
        <w:pStyle w:val="3"/>
        <w:jc w:val="both"/>
        <w:rPr>
          <w:rFonts w:ascii="Times New Roman" w:hAnsi="Times New Roman"/>
          <w:color w:val="auto"/>
          <w:sz w:val="24"/>
          <w:szCs w:val="24"/>
        </w:rPr>
      </w:pPr>
      <w:bookmarkStart w:id="28" w:name="_Toc8261"/>
      <w:r>
        <w:rPr>
          <w:rFonts w:ascii="Times New Roman" w:hAnsi="Times New Roman"/>
          <w:color w:val="auto"/>
          <w:sz w:val="24"/>
          <w:szCs w:val="24"/>
        </w:rPr>
        <w:t>2.5 Antioxidant Compounds</w:t>
      </w:r>
      <w:bookmarkEnd w:id="28"/>
    </w:p>
    <w:p>
      <w:pPr>
        <w:jc w:val="both"/>
        <w:rPr>
          <w:szCs w:val="24"/>
        </w:rPr>
      </w:pPr>
      <w:r>
        <w:rPr>
          <w:szCs w:val="24"/>
        </w:rPr>
        <w:t>The chemical compounds which can delay the start or slow the rate of lipid oxidation reaction in different biological systems are known as antioxidant compounds [32].</w:t>
      </w:r>
    </w:p>
    <w:p>
      <w:pPr>
        <w:pStyle w:val="3"/>
        <w:jc w:val="both"/>
        <w:rPr>
          <w:rFonts w:ascii="Times New Roman" w:hAnsi="Times New Roman"/>
          <w:color w:val="auto"/>
          <w:sz w:val="24"/>
          <w:szCs w:val="24"/>
        </w:rPr>
      </w:pPr>
      <w:bookmarkStart w:id="29" w:name="_Toc6333"/>
      <w:r>
        <w:rPr>
          <w:rFonts w:ascii="Times New Roman" w:hAnsi="Times New Roman"/>
          <w:color w:val="auto"/>
          <w:sz w:val="24"/>
          <w:szCs w:val="24"/>
        </w:rPr>
        <w:t>2.5.1 Classification of antioxidants</w:t>
      </w:r>
      <w:bookmarkEnd w:id="29"/>
    </w:p>
    <w:p>
      <w:pPr>
        <w:autoSpaceDE w:val="0"/>
        <w:autoSpaceDN w:val="0"/>
        <w:adjustRightInd w:val="0"/>
        <w:jc w:val="both"/>
        <w:rPr>
          <w:szCs w:val="24"/>
        </w:rPr>
      </w:pPr>
      <w:r>
        <w:rPr>
          <w:szCs w:val="24"/>
        </w:rPr>
        <w:t xml:space="preserve">There are different attributes to classify the antioxidants. The first attribute is based on the function (primary and secondary antioxidants). The second attribute is based on enzymatic and non enzymatic antioxidants [32, 33]. The antioxidants may be natural or synthetic ones. Polyhydroxy flavones, flavanones, flavanols, isoflavones, chalcones and many members are of these groups of natural substances which proved to have a high degree of antioxidant activity and they are found to be widely spread in plant material [33, 34]. </w:t>
      </w:r>
    </w:p>
    <w:p>
      <w:pPr>
        <w:autoSpaceDE w:val="0"/>
        <w:autoSpaceDN w:val="0"/>
        <w:adjustRightInd w:val="0"/>
        <w:jc w:val="both"/>
        <w:rPr>
          <w:b/>
          <w:bCs/>
          <w:szCs w:val="24"/>
        </w:rPr>
      </w:pPr>
      <w:r>
        <w:rPr>
          <w:b/>
          <w:bCs/>
          <w:szCs w:val="24"/>
        </w:rPr>
        <w:t xml:space="preserve"> Primary antioxidants and Secondary antioxidants </w:t>
      </w:r>
    </w:p>
    <w:p>
      <w:pPr>
        <w:autoSpaceDE w:val="0"/>
        <w:autoSpaceDN w:val="0"/>
        <w:adjustRightInd w:val="0"/>
        <w:jc w:val="both"/>
        <w:rPr>
          <w:szCs w:val="24"/>
        </w:rPr>
      </w:pPr>
      <w:r>
        <w:rPr>
          <w:bCs/>
          <w:szCs w:val="24"/>
        </w:rPr>
        <w:t xml:space="preserve">Primary antioxidants </w:t>
      </w:r>
      <w:r>
        <w:rPr>
          <w:szCs w:val="24"/>
        </w:rPr>
        <w:t>are the chain breaking antioxidants which react with lipid radicals and convert them into more stable products. Antioxidants of this group are mainly phenolics, in structure and include the following: Antioxidant minerals, antioxidant vitamins and phytochemicals which include flavonoides, catechins,  carotenoids, β-carotene, lycopene, diterpene, black pepper, thyme, garlic, cumin and their derivatives [32, 33].</w:t>
      </w:r>
      <w:r>
        <w:rPr>
          <w:bCs/>
          <w:szCs w:val="24"/>
        </w:rPr>
        <w:t>Secondary antioxidants</w:t>
      </w:r>
      <w:r>
        <w:rPr>
          <w:szCs w:val="24"/>
        </w:rPr>
        <w:t xml:space="preserve"> are  phenolic compounds that perform the function of capturing free radicals and stopping the chain reactions. [32-34].</w:t>
      </w:r>
    </w:p>
    <w:p>
      <w:pPr>
        <w:jc w:val="both"/>
        <w:rPr>
          <w:b/>
          <w:bCs/>
        </w:rPr>
      </w:pPr>
      <w:r>
        <w:rPr>
          <w:b/>
          <w:bCs/>
        </w:rPr>
        <w:t>Enzymatic and Non Enzymatic Antioxidant</w:t>
      </w:r>
    </w:p>
    <w:p>
      <w:pPr>
        <w:autoSpaceDE w:val="0"/>
        <w:autoSpaceDN w:val="0"/>
        <w:adjustRightInd w:val="0"/>
        <w:jc w:val="both"/>
        <w:rPr>
          <w:szCs w:val="24"/>
        </w:rPr>
      </w:pPr>
      <w:r>
        <w:rPr>
          <w:szCs w:val="24"/>
        </w:rPr>
        <w:t>Antioxidants can be divided into two classes depending on the enzymatic action namely enzymatic antioxidants and non enzymatic antioxidants. Some of the antioxidant enzymes that are found to provide a protection against ROS are superoxide dismutases, catalases, and glutathione peroxidases, in addition to numerous non-enzymatic small molecules distributed widely in the biological system and capable of scavenging free radicals. These non-enzymatic molecules include glutathione, tocopherol (vitamin E), vitamin C, β -carotene, and selenium. Some of these antioxidants are endogenously produced which include enzymes, low molecular weight molecules and enzyme cofactors. Among non enzymatic antioxidants many are obtained from dietary sources. Dietary antioxidants can be classified into various classes of which polyphenols present the largest class. Polyphenols consist of phenolic acids and flavonoids. The other classes of dietary antioxidants include vitamins, carotenoids, organosulfural and minerals [33, 34]</w:t>
      </w:r>
    </w:p>
    <w:p>
      <w:pPr>
        <w:pStyle w:val="3"/>
        <w:jc w:val="both"/>
        <w:rPr>
          <w:rFonts w:ascii="Times New Roman" w:hAnsi="Times New Roman"/>
          <w:color w:val="auto"/>
          <w:sz w:val="24"/>
          <w:szCs w:val="24"/>
        </w:rPr>
      </w:pPr>
      <w:bookmarkStart w:id="30" w:name="_Toc20113"/>
      <w:r>
        <w:rPr>
          <w:rFonts w:ascii="Times New Roman" w:hAnsi="Times New Roman"/>
          <w:color w:val="auto"/>
          <w:sz w:val="24"/>
          <w:szCs w:val="24"/>
        </w:rPr>
        <w:t>2.6 Antibacterial</w:t>
      </w:r>
      <w:bookmarkEnd w:id="30"/>
    </w:p>
    <w:p>
      <w:pPr>
        <w:jc w:val="both"/>
        <w:rPr>
          <w:szCs w:val="24"/>
        </w:rPr>
      </w:pPr>
      <w:r>
        <w:rPr>
          <w:szCs w:val="24"/>
        </w:rPr>
        <w:t>Antibacterial is anything that destroys bacteria or suppresses their growth or their ability to reproduce. Heat, chemicals such as chlorine, and antibiotic drugs all have antibacterial properties. Many antibacterial products for cleaning and hand washing are sold today. Such products do not reduce the risk for symptoms of viral infectious diseases in otherwise healthy persons [35].</w:t>
      </w:r>
    </w:p>
    <w:p>
      <w:pPr>
        <w:pStyle w:val="3"/>
        <w:jc w:val="both"/>
        <w:rPr>
          <w:rFonts w:ascii="Times New Roman" w:hAnsi="Times New Roman"/>
          <w:color w:val="auto"/>
          <w:sz w:val="24"/>
          <w:szCs w:val="24"/>
        </w:rPr>
      </w:pPr>
      <w:bookmarkStart w:id="31" w:name="_Toc8206"/>
      <w:r>
        <w:rPr>
          <w:rFonts w:ascii="Times New Roman" w:hAnsi="Times New Roman"/>
          <w:color w:val="auto"/>
          <w:sz w:val="24"/>
          <w:szCs w:val="24"/>
        </w:rPr>
        <w:t>2.7 Phytochemicals</w:t>
      </w:r>
      <w:bookmarkEnd w:id="31"/>
    </w:p>
    <w:p>
      <w:pPr>
        <w:jc w:val="both"/>
        <w:rPr>
          <w:szCs w:val="24"/>
        </w:rPr>
      </w:pPr>
      <w:r>
        <w:rPr>
          <w:szCs w:val="24"/>
        </w:rPr>
        <w:t>Phytochemicals are naturally occurring bioactive compounds found in plants. Their role to the producer is mainly to protect plant cells from environmental hazards such as pollution, stress, UV exposure and pathogenic attack. Phytochemicals get great attention for their application in medicine due to having biological activities such as antioxidant and antimicrobial effects [36]. Some of the widely known phytochemicals are:-</w:t>
      </w:r>
    </w:p>
    <w:p>
      <w:pPr>
        <w:pStyle w:val="4"/>
        <w:jc w:val="both"/>
        <w:rPr>
          <w:rFonts w:ascii="Times New Roman" w:hAnsi="Times New Roman"/>
          <w:color w:val="auto"/>
          <w:sz w:val="24"/>
          <w:szCs w:val="24"/>
        </w:rPr>
      </w:pPr>
      <w:bookmarkStart w:id="32" w:name="_Toc8344"/>
      <w:r>
        <w:rPr>
          <w:rFonts w:ascii="Times New Roman" w:hAnsi="Times New Roman"/>
          <w:color w:val="auto"/>
          <w:sz w:val="24"/>
          <w:szCs w:val="24"/>
        </w:rPr>
        <w:t>2.7.1 Alkaloids</w:t>
      </w:r>
      <w:bookmarkEnd w:id="32"/>
    </w:p>
    <w:p>
      <w:pPr>
        <w:autoSpaceDE w:val="0"/>
        <w:autoSpaceDN w:val="0"/>
        <w:adjustRightInd w:val="0"/>
        <w:jc w:val="both"/>
        <w:rPr>
          <w:szCs w:val="24"/>
        </w:rPr>
      </w:pPr>
      <w:r>
        <w:rPr>
          <w:szCs w:val="24"/>
        </w:rPr>
        <w:t>Alkaloids are nitrogenous compounds known to be the largest group of secondary plant chemical constituents. They function in the defense of plants against herbivores and pathogens. They are used in pharmaceuticals as stimulants and poisons due to their potent biological activities.   They are found mainly in the seeds and roots of plants. Clinical use of Plant derived alkaloids include analgestics , such as morphine and codeine, muscle relaxant, such as (+)-tubocurarine, antibiotics, such as sanguinafine and berberine, anticancer agents, such as vinblastine, antiarrythmic, such as ajmaline, and the pupil dilator, such as atropine. Caffeine, codeine, atropine (figure 8), morphine, ergotamine, cocaine, nicotine and ephedrine are classified among the addictive stimulant alkaloids [39, 40].</w:t>
      </w:r>
    </w:p>
    <w:p>
      <w:pPr>
        <w:autoSpaceDE w:val="0"/>
        <w:autoSpaceDN w:val="0"/>
        <w:adjustRightInd w:val="0"/>
        <w:jc w:val="both"/>
        <w:rPr>
          <w:szCs w:val="24"/>
        </w:rPr>
      </w:pPr>
      <w:r>
        <w:object>
          <v:shape id="_x0000_i1032" o:spt="75" type="#_x0000_t75" style="height:58.6pt;width:151.75pt;" o:ole="t" filled="f" o:preferrelative="t" stroked="f" coordsize="21600,21600">
            <v:path/>
            <v:fill on="f" focussize="0,0"/>
            <v:stroke on="f"/>
            <v:imagedata r:id="rId27" o:title=""/>
            <o:lock v:ext="edit" aspectratio="t"/>
            <w10:wrap type="none"/>
            <w10:anchorlock/>
          </v:shape>
          <o:OLEObject Type="Embed" ProgID="ChemDraw.Document.6.0" ShapeID="_x0000_i1032" DrawAspect="Content" ObjectID="_1468075732" r:id="rId26">
            <o:LockedField>false</o:LockedField>
          </o:OLEObject>
        </w:object>
      </w:r>
    </w:p>
    <w:p>
      <w:pPr>
        <w:pStyle w:val="6"/>
        <w:jc w:val="both"/>
        <w:rPr>
          <w:rFonts w:ascii="Times New Roman" w:hAnsi="Times New Roman" w:cs="Times New Roman"/>
          <w:sz w:val="24"/>
          <w:szCs w:val="24"/>
        </w:rPr>
      </w:pPr>
      <w:r>
        <w:rPr>
          <w:rFonts w:ascii="Times New Roman" w:hAnsi="Times New Roman" w:cs="Times New Roman"/>
          <w:b/>
          <w:sz w:val="24"/>
          <w:szCs w:val="24"/>
        </w:rPr>
        <w:t xml:space="preserve">Figure </w:t>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SEQ Figure \* ARABIC </w:instrText>
      </w:r>
      <w:r>
        <w:rPr>
          <w:rFonts w:ascii="Times New Roman" w:hAnsi="Times New Roman" w:cs="Times New Roman"/>
          <w:b/>
          <w:sz w:val="24"/>
          <w:szCs w:val="24"/>
        </w:rPr>
        <w:fldChar w:fldCharType="separate"/>
      </w:r>
      <w:r>
        <w:rPr>
          <w:rFonts w:ascii="Times New Roman" w:hAnsi="Times New Roman" w:cs="Times New Roman"/>
          <w:b/>
          <w:sz w:val="24"/>
          <w:szCs w:val="24"/>
        </w:rPr>
        <w:t>3</w:t>
      </w:r>
      <w:r>
        <w:rPr>
          <w:rFonts w:ascii="Times New Roman" w:hAnsi="Times New Roman" w:cs="Times New Roman"/>
          <w:b/>
          <w:sz w:val="24"/>
          <w:szCs w:val="24"/>
        </w:rPr>
        <w:fldChar w:fldCharType="end"/>
      </w:r>
      <w:bookmarkStart w:id="33" w:name="_Toc10626"/>
      <w:r>
        <w:rPr>
          <w:rFonts w:ascii="Times New Roman" w:hAnsi="Times New Roman" w:cs="Times New Roman"/>
          <w:b/>
          <w:sz w:val="24"/>
          <w:szCs w:val="24"/>
        </w:rPr>
        <w:t>:</w:t>
      </w:r>
      <w:r>
        <w:rPr>
          <w:rFonts w:ascii="Times New Roman" w:hAnsi="Times New Roman" w:cs="Times New Roman"/>
          <w:sz w:val="24"/>
          <w:szCs w:val="24"/>
        </w:rPr>
        <w:t xml:space="preserve"> Structure of atropine</w:t>
      </w:r>
      <w:bookmarkEnd w:id="33"/>
    </w:p>
    <w:p>
      <w:pPr>
        <w:pStyle w:val="4"/>
        <w:jc w:val="both"/>
        <w:rPr>
          <w:rFonts w:ascii="Times New Roman" w:hAnsi="Times New Roman"/>
          <w:color w:val="auto"/>
          <w:sz w:val="24"/>
          <w:szCs w:val="24"/>
        </w:rPr>
      </w:pPr>
      <w:bookmarkStart w:id="34" w:name="_Toc5676"/>
      <w:r>
        <w:rPr>
          <w:rFonts w:ascii="Times New Roman" w:hAnsi="Times New Roman"/>
          <w:color w:val="auto"/>
          <w:sz w:val="24"/>
          <w:szCs w:val="24"/>
        </w:rPr>
        <w:t>2.7.2 Glycosides</w:t>
      </w:r>
      <w:bookmarkEnd w:id="34"/>
    </w:p>
    <w:p>
      <w:pPr>
        <w:jc w:val="both"/>
        <w:rPr>
          <w:szCs w:val="24"/>
        </w:rPr>
      </w:pPr>
      <w:r>
        <w:rPr>
          <w:szCs w:val="24"/>
        </w:rPr>
        <w:t>These groups of phytochemicals are the condensation product of sugars. Chemically, they contain carbohydrate (glucose) and non-carbohydrate part (aglycon or genin) which are found in the cell sap. Glycosides are useful phytochemicals for the treatment of various illnesses which acts on gustatory. For example: anthracene glycosides are used for tteatment of skin diseases, chalcone glycosides are anticancer agents [38, 41]</w:t>
      </w:r>
    </w:p>
    <w:p>
      <w:pPr>
        <w:pStyle w:val="4"/>
        <w:jc w:val="both"/>
        <w:rPr>
          <w:rFonts w:ascii="Times New Roman" w:hAnsi="Times New Roman"/>
          <w:color w:val="auto"/>
          <w:sz w:val="24"/>
          <w:szCs w:val="24"/>
        </w:rPr>
      </w:pPr>
      <w:bookmarkStart w:id="35" w:name="_Toc3405"/>
      <w:r>
        <w:rPr>
          <w:rFonts w:ascii="Times New Roman" w:hAnsi="Times New Roman"/>
          <w:color w:val="auto"/>
          <w:sz w:val="24"/>
          <w:szCs w:val="24"/>
        </w:rPr>
        <w:t>2.7.3 Flavonoids</w:t>
      </w:r>
      <w:bookmarkEnd w:id="35"/>
    </w:p>
    <w:p>
      <w:pPr>
        <w:jc w:val="both"/>
        <w:rPr>
          <w:szCs w:val="24"/>
        </w:rPr>
      </w:pPr>
      <w:r>
        <w:rPr>
          <w:szCs w:val="24"/>
        </w:rPr>
        <w:t>Flavonoids are widely known phenolic plant chemicals which exhibits various biological and pharmacological activities. They are known for their antioxidant, cytotoxic, anticancer, antiviral, antibacterial, anti-inflammatory, anti-allergic, antithrombotic, cardioprotective, hepatoprotective, neuroprotective, antimalarial, antiitrypanosomal and antiamebial properties [43, 44]. Since flavonoids are different in polarity, their extraction technique is also dependent on the polarity of the solvent. Less polar flavonoids, such as isoflavones, flavanones, methylated flavones, and flavonols are extracted with less polar solvents such as chloroform, dichloromethane, diethylether, or ethyl acetate while flavonoid glycosides and more polar aglycones are extracted with alcohols or alcohol–water mixtures [42].</w:t>
      </w:r>
    </w:p>
    <w:p>
      <w:pPr>
        <w:jc w:val="both"/>
        <w:rPr>
          <w:szCs w:val="24"/>
        </w:rPr>
      </w:pPr>
      <w:r>
        <w:object>
          <v:shape id="_x0000_i1033" o:spt="75" type="#_x0000_t75" style="height:82.6pt;width:392.45pt;" o:ole="t" filled="f" o:preferrelative="t" stroked="f" coordsize="21600,21600">
            <v:path/>
            <v:fill on="f" focussize="0,0"/>
            <v:stroke on="f"/>
            <v:imagedata r:id="rId29" o:title=""/>
            <o:lock v:ext="edit" aspectratio="t"/>
            <w10:wrap type="none"/>
            <w10:anchorlock/>
          </v:shape>
          <o:OLEObject Type="Embed" ProgID="ChemDraw.Document.6.0" ShapeID="_x0000_i1033" DrawAspect="Content" ObjectID="_1468075733" r:id="rId28">
            <o:LockedField>false</o:LockedField>
          </o:OLEObject>
        </w:object>
      </w:r>
    </w:p>
    <w:p>
      <w:pPr>
        <w:pStyle w:val="6"/>
        <w:jc w:val="both"/>
        <w:rPr>
          <w:rFonts w:ascii="Times New Roman" w:hAnsi="Times New Roman" w:cs="Times New Roman"/>
          <w:sz w:val="24"/>
          <w:szCs w:val="24"/>
        </w:rPr>
      </w:pPr>
      <w:r>
        <w:rPr>
          <w:rFonts w:ascii="Times New Roman" w:hAnsi="Times New Roman" w:cs="Times New Roman"/>
          <w:b/>
          <w:sz w:val="24"/>
          <w:szCs w:val="24"/>
        </w:rPr>
        <w:t xml:space="preserve">Figure </w:t>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SEQ Figure \* ARABIC </w:instrText>
      </w:r>
      <w:r>
        <w:rPr>
          <w:rFonts w:ascii="Times New Roman" w:hAnsi="Times New Roman" w:cs="Times New Roman"/>
          <w:b/>
          <w:sz w:val="24"/>
          <w:szCs w:val="24"/>
        </w:rPr>
        <w:fldChar w:fldCharType="separate"/>
      </w:r>
      <w:r>
        <w:rPr>
          <w:rFonts w:ascii="Times New Roman" w:hAnsi="Times New Roman" w:cs="Times New Roman"/>
          <w:b/>
          <w:sz w:val="24"/>
          <w:szCs w:val="24"/>
        </w:rPr>
        <w:t>4</w:t>
      </w:r>
      <w:r>
        <w:rPr>
          <w:rFonts w:ascii="Times New Roman" w:hAnsi="Times New Roman" w:cs="Times New Roman"/>
          <w:b/>
          <w:sz w:val="24"/>
          <w:szCs w:val="24"/>
        </w:rPr>
        <w:fldChar w:fldCharType="end"/>
      </w:r>
      <w:bookmarkStart w:id="36" w:name="_Toc28859"/>
      <w:r>
        <w:rPr>
          <w:rFonts w:ascii="Times New Roman" w:hAnsi="Times New Roman" w:cs="Times New Roman"/>
          <w:b/>
          <w:sz w:val="24"/>
          <w:szCs w:val="24"/>
        </w:rPr>
        <w:t xml:space="preserve">: </w:t>
      </w:r>
      <w:r>
        <w:rPr>
          <w:rFonts w:ascii="Times New Roman" w:hAnsi="Times New Roman" w:cs="Times New Roman"/>
          <w:sz w:val="24"/>
          <w:szCs w:val="24"/>
        </w:rPr>
        <w:t>Structures of flavonoids</w:t>
      </w:r>
      <w:bookmarkEnd w:id="36"/>
    </w:p>
    <w:p>
      <w:pPr>
        <w:pStyle w:val="4"/>
        <w:jc w:val="both"/>
        <w:rPr>
          <w:rFonts w:ascii="Times New Roman" w:hAnsi="Times New Roman"/>
          <w:color w:val="auto"/>
          <w:sz w:val="24"/>
          <w:szCs w:val="24"/>
        </w:rPr>
      </w:pPr>
      <w:bookmarkStart w:id="37" w:name="_Toc10238"/>
      <w:r>
        <w:rPr>
          <w:rFonts w:ascii="Times New Roman" w:hAnsi="Times New Roman"/>
          <w:color w:val="auto"/>
          <w:sz w:val="24"/>
          <w:szCs w:val="24"/>
        </w:rPr>
        <w:t>2.7.4 Phenolics</w:t>
      </w:r>
      <w:bookmarkEnd w:id="37"/>
    </w:p>
    <w:p>
      <w:pPr>
        <w:jc w:val="both"/>
        <w:rPr>
          <w:szCs w:val="24"/>
        </w:rPr>
      </w:pPr>
      <w:r>
        <w:rPr>
          <w:szCs w:val="24"/>
        </w:rPr>
        <w:t>Phenolic compounds of plant chemicals are responsible chemicals for coloring of the producer mainly fruits of plants. They are hydrogen donating antioxidant agents which can react with reactive oxygen and reactive nitrogen species. Caffeic acid is regarded as the most common of phenolic compounds distributed in the plant flora followed by chlorogenic acid known to cause allergic dermatitis among humans. They are essentially found in apples, green-tea, and red-wine. They have enormous ability to combat cancer and are also thought to prevent heart ailments to an appreciable degree and sometimes are anti-inflammatory agents. Its hydroxyl groups are good H-donating antioxidants, which scavenge reactive oxygen species and breaks the cycle of generation of new radicals [45, 46]</w:t>
      </w:r>
    </w:p>
    <w:p>
      <w:pPr>
        <w:jc w:val="both"/>
        <w:rPr>
          <w:szCs w:val="24"/>
        </w:rPr>
      </w:pPr>
      <w:r>
        <w:object>
          <v:shape id="_x0000_i1034" o:spt="75" type="#_x0000_t75" style="height:97.4pt;width:204pt;" o:ole="t" filled="f" o:preferrelative="t" stroked="f" coordsize="21600,21600">
            <v:path/>
            <v:fill on="f" focussize="0,0"/>
            <v:stroke on="f" joinstyle="miter"/>
            <v:imagedata r:id="rId31" o:title=""/>
            <o:lock v:ext="edit" aspectratio="t"/>
            <w10:wrap type="none"/>
            <w10:anchorlock/>
          </v:shape>
          <o:OLEObject Type="Embed" ProgID="ChemDraw.Document.6.0" ShapeID="_x0000_i1034" DrawAspect="Content" ObjectID="_1468075734" r:id="rId30">
            <o:LockedField>false</o:LockedField>
          </o:OLEObject>
        </w:object>
      </w:r>
    </w:p>
    <w:p>
      <w:pPr>
        <w:pStyle w:val="6"/>
        <w:ind w:firstLine="960" w:firstLineChars="400"/>
        <w:jc w:val="both"/>
        <w:rPr>
          <w:rFonts w:ascii="Times New Roman" w:hAnsi="Times New Roman" w:cs="Times New Roman"/>
          <w:sz w:val="24"/>
          <w:szCs w:val="24"/>
        </w:rPr>
      </w:pPr>
      <w:r>
        <w:rPr>
          <w:rFonts w:ascii="Times New Roman" w:hAnsi="Times New Roman" w:cs="Times New Roman"/>
          <w:b/>
          <w:bCs/>
          <w:sz w:val="24"/>
          <w:szCs w:val="24"/>
        </w:rPr>
        <w:t xml:space="preserve">Figure </w:t>
      </w: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SEQ Figure \* ARABIC </w:instrText>
      </w:r>
      <w:r>
        <w:rPr>
          <w:rFonts w:ascii="Times New Roman" w:hAnsi="Times New Roman" w:cs="Times New Roman"/>
          <w:b/>
          <w:bCs/>
          <w:sz w:val="24"/>
          <w:szCs w:val="24"/>
        </w:rPr>
        <w:fldChar w:fldCharType="separate"/>
      </w:r>
      <w:r>
        <w:rPr>
          <w:rFonts w:ascii="Times New Roman" w:hAnsi="Times New Roman" w:cs="Times New Roman"/>
          <w:b/>
          <w:bCs/>
          <w:sz w:val="24"/>
          <w:szCs w:val="24"/>
        </w:rPr>
        <w:t>5</w:t>
      </w:r>
      <w:r>
        <w:rPr>
          <w:rFonts w:ascii="Times New Roman" w:hAnsi="Times New Roman" w:cs="Times New Roman"/>
          <w:b/>
          <w:bCs/>
          <w:sz w:val="24"/>
          <w:szCs w:val="24"/>
        </w:rPr>
        <w:fldChar w:fldCharType="end"/>
      </w:r>
      <w:bookmarkStart w:id="38" w:name="_Toc4989"/>
      <w:r>
        <w:rPr>
          <w:rFonts w:ascii="Times New Roman" w:hAnsi="Times New Roman" w:cs="Times New Roman"/>
          <w:sz w:val="24"/>
          <w:szCs w:val="24"/>
        </w:rPr>
        <w:t>: Molecular structures of benzoic and cinnamic acid derivatives</w:t>
      </w:r>
      <w:bookmarkEnd w:id="38"/>
    </w:p>
    <w:p>
      <w:pPr>
        <w:pStyle w:val="4"/>
        <w:jc w:val="both"/>
        <w:rPr>
          <w:rFonts w:ascii="Times New Roman" w:hAnsi="Times New Roman"/>
          <w:color w:val="auto"/>
          <w:sz w:val="24"/>
          <w:szCs w:val="24"/>
        </w:rPr>
      </w:pPr>
      <w:bookmarkStart w:id="39" w:name="_Toc156"/>
      <w:r>
        <w:rPr>
          <w:rFonts w:ascii="Times New Roman" w:hAnsi="Times New Roman"/>
          <w:color w:val="auto"/>
          <w:sz w:val="24"/>
          <w:szCs w:val="24"/>
        </w:rPr>
        <w:t>2.7.5 Saponins</w:t>
      </w:r>
      <w:bookmarkEnd w:id="39"/>
    </w:p>
    <w:p>
      <w:pPr>
        <w:jc w:val="both"/>
        <w:rPr>
          <w:szCs w:val="24"/>
        </w:rPr>
      </w:pPr>
      <w:r>
        <w:rPr>
          <w:szCs w:val="24"/>
        </w:rPr>
        <w:t>Saponins are naturally occurring surface-active glycosides with a distinctive foaming characteristic. They are mainly produced by plants but also by lower marine animals and some bacteria, but get their name from the soapwort plant (Saponaria) the root of which was used historically as a soap.The combination of hydrophobic or fat-soluble sapogenin and hydrophilic or water-soluble sugar part enhances the foaming ability of saponins [47-49].</w:t>
      </w:r>
    </w:p>
    <w:p>
      <w:pPr>
        <w:jc w:val="both"/>
        <w:rPr>
          <w:szCs w:val="24"/>
        </w:rPr>
      </w:pPr>
      <w:r>
        <w:object>
          <v:shape id="_x0000_i1035" o:spt="75" type="#_x0000_t75" style="height:123.55pt;width:330.35pt;" o:ole="t" filled="f" o:preferrelative="t" stroked="f" coordsize="21600,21600">
            <v:path/>
            <v:fill on="f" focussize="0,0"/>
            <v:stroke on="f"/>
            <v:imagedata r:id="rId33" o:title=""/>
            <o:lock v:ext="edit" aspectratio="t"/>
            <w10:wrap type="none"/>
            <w10:anchorlock/>
          </v:shape>
          <o:OLEObject Type="Embed" ProgID="ChemDraw.Document.6.0" ShapeID="_x0000_i1035" DrawAspect="Content" ObjectID="_1468075735" r:id="rId32">
            <o:LockedField>false</o:LockedField>
          </o:OLEObject>
        </w:object>
      </w:r>
    </w:p>
    <w:p>
      <w:pPr>
        <w:pStyle w:val="6"/>
        <w:ind w:firstLine="600" w:firstLineChars="250"/>
        <w:jc w:val="both"/>
        <w:rPr>
          <w:rFonts w:ascii="Times New Roman" w:hAnsi="Times New Roman" w:cs="Times New Roman"/>
          <w:sz w:val="24"/>
          <w:szCs w:val="24"/>
        </w:rPr>
      </w:pPr>
      <w:r>
        <w:rPr>
          <w:rFonts w:ascii="Times New Roman" w:hAnsi="Times New Roman" w:cs="Times New Roman"/>
          <w:b/>
          <w:bCs/>
          <w:sz w:val="24"/>
          <w:szCs w:val="24"/>
        </w:rPr>
        <w:t xml:space="preserve">Figure </w:t>
      </w: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SEQ Figure \* ARABIC </w:instrText>
      </w:r>
      <w:r>
        <w:rPr>
          <w:rFonts w:ascii="Times New Roman" w:hAnsi="Times New Roman" w:cs="Times New Roman"/>
          <w:b/>
          <w:bCs/>
          <w:sz w:val="24"/>
          <w:szCs w:val="24"/>
        </w:rPr>
        <w:fldChar w:fldCharType="separate"/>
      </w:r>
      <w:r>
        <w:rPr>
          <w:rFonts w:ascii="Times New Roman" w:hAnsi="Times New Roman" w:cs="Times New Roman"/>
          <w:b/>
          <w:bCs/>
          <w:sz w:val="24"/>
          <w:szCs w:val="24"/>
        </w:rPr>
        <w:t>6</w:t>
      </w:r>
      <w:r>
        <w:rPr>
          <w:rFonts w:ascii="Times New Roman" w:hAnsi="Times New Roman" w:cs="Times New Roman"/>
          <w:b/>
          <w:bCs/>
          <w:sz w:val="24"/>
          <w:szCs w:val="24"/>
        </w:rPr>
        <w:fldChar w:fldCharType="end"/>
      </w:r>
      <w:bookmarkStart w:id="40" w:name="_Toc3204"/>
      <w:r>
        <w:rPr>
          <w:rFonts w:ascii="Times New Roman" w:hAnsi="Times New Roman" w:cs="Times New Roman"/>
          <w:b/>
          <w:bCs/>
          <w:sz w:val="24"/>
          <w:szCs w:val="24"/>
        </w:rPr>
        <w:t>:</w:t>
      </w:r>
      <w:r>
        <w:rPr>
          <w:rFonts w:ascii="Times New Roman" w:hAnsi="Times New Roman" w:cs="Times New Roman"/>
          <w:sz w:val="24"/>
          <w:szCs w:val="24"/>
        </w:rPr>
        <w:t xml:space="preserve"> Basic structures of sapogenins: a triterpenoid(a ) and a steroid(b)</w:t>
      </w:r>
      <w:bookmarkEnd w:id="40"/>
    </w:p>
    <w:p>
      <w:pPr>
        <w:jc w:val="both"/>
        <w:rPr>
          <w:szCs w:val="24"/>
        </w:rPr>
      </w:pPr>
      <w:r>
        <w:rPr>
          <w:szCs w:val="24"/>
        </w:rPr>
        <w:t>They have many medicinal uses including, microbial, anti-tumor, anti-insect, hepatoprotective, haemolytic and anti-inflammatory activities. They also decrees blood cholesterol level and may be used as supportive in vaccines. In addition, saponins are used in preparation of soaps, detergents, fire extinguishers, shampoos, beer and cosmetic [47- 49]</w:t>
      </w: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jc w:val="both"/>
        <w:rPr>
          <w:rFonts w:eastAsia="SimSun"/>
          <w:b/>
          <w:bCs/>
          <w:i/>
          <w:iCs/>
          <w:szCs w:val="24"/>
        </w:rPr>
      </w:pPr>
    </w:p>
    <w:p>
      <w:pPr>
        <w:pStyle w:val="2"/>
        <w:jc w:val="both"/>
        <w:rPr>
          <w:rFonts w:ascii="Times New Roman" w:hAnsi="Times New Roman"/>
          <w:color w:val="auto"/>
        </w:rPr>
      </w:pPr>
      <w:bookmarkStart w:id="41" w:name="_Toc16867"/>
      <w:r>
        <w:rPr>
          <w:rFonts w:ascii="Times New Roman" w:hAnsi="Times New Roman"/>
          <w:color w:val="auto"/>
        </w:rPr>
        <w:t>3. MATERIALS AND METHODS</w:t>
      </w:r>
      <w:bookmarkEnd w:id="41"/>
    </w:p>
    <w:p>
      <w:pPr>
        <w:pStyle w:val="3"/>
        <w:jc w:val="both"/>
        <w:rPr>
          <w:rFonts w:ascii="Times New Roman" w:hAnsi="Times New Roman"/>
          <w:color w:val="auto"/>
          <w:sz w:val="24"/>
          <w:szCs w:val="24"/>
        </w:rPr>
      </w:pPr>
      <w:bookmarkStart w:id="42" w:name="_Toc3355"/>
      <w:r>
        <w:rPr>
          <w:rFonts w:ascii="Times New Roman" w:hAnsi="Times New Roman"/>
          <w:color w:val="auto"/>
          <w:sz w:val="24"/>
          <w:szCs w:val="24"/>
        </w:rPr>
        <w:t>3.1 Plant Material</w:t>
      </w:r>
      <w:bookmarkEnd w:id="42"/>
    </w:p>
    <w:p>
      <w:pPr>
        <w:autoSpaceDE w:val="0"/>
        <w:autoSpaceDN w:val="0"/>
        <w:adjustRightInd w:val="0"/>
        <w:jc w:val="both"/>
        <w:rPr>
          <w:szCs w:val="24"/>
        </w:rPr>
      </w:pPr>
      <w:r>
        <w:rPr>
          <w:szCs w:val="24"/>
        </w:rPr>
        <w:t xml:space="preserve">The roots of </w:t>
      </w:r>
      <w:r>
        <w:rPr>
          <w:i/>
          <w:szCs w:val="24"/>
        </w:rPr>
        <w:t>Verbascum sinaiticum</w:t>
      </w:r>
      <w:r>
        <w:rPr>
          <w:szCs w:val="24"/>
        </w:rPr>
        <w:t xml:space="preserve"> were collected in December 2017 from Ada Barga Wereda, West Shoa, Oromiya region, Ethiopia during the flowering stage of the plant. The species was botanically identified at Addis Ababa University, center for National Herbarium of Ethiopia and voucher number was assigned (MA-001).  </w:t>
      </w:r>
    </w:p>
    <w:p>
      <w:pPr>
        <w:pStyle w:val="3"/>
        <w:jc w:val="both"/>
        <w:rPr>
          <w:rFonts w:ascii="Times New Roman" w:hAnsi="Times New Roman"/>
          <w:color w:val="auto"/>
          <w:sz w:val="24"/>
          <w:szCs w:val="24"/>
        </w:rPr>
      </w:pPr>
      <w:bookmarkStart w:id="43" w:name="_Toc27903"/>
      <w:r>
        <w:rPr>
          <w:rFonts w:ascii="Times New Roman" w:hAnsi="Times New Roman"/>
          <w:color w:val="auto"/>
          <w:sz w:val="24"/>
          <w:szCs w:val="24"/>
        </w:rPr>
        <w:t>3.2 Extraction</w:t>
      </w:r>
      <w:bookmarkEnd w:id="43"/>
    </w:p>
    <w:p>
      <w:pPr>
        <w:autoSpaceDE w:val="0"/>
        <w:autoSpaceDN w:val="0"/>
        <w:adjustRightInd w:val="0"/>
        <w:jc w:val="both"/>
        <w:rPr>
          <w:szCs w:val="24"/>
        </w:rPr>
      </w:pPr>
      <w:r>
        <w:rPr>
          <w:szCs w:val="24"/>
        </w:rPr>
        <w:t xml:space="preserve">The air-dried and powdered roots of </w:t>
      </w:r>
      <w:r>
        <w:rPr>
          <w:i/>
          <w:iCs/>
          <w:szCs w:val="24"/>
        </w:rPr>
        <w:t xml:space="preserve">V.sinaiticum </w:t>
      </w:r>
      <w:r>
        <w:rPr>
          <w:szCs w:val="24"/>
        </w:rPr>
        <w:t xml:space="preserve">(500g) was first soaked in 1.2 L petroleum ether for 24 h, followed by 1.5 L chloroform for 48 h and 2.0 L methanol for 72 h. The extracts were concentrated under rotary evaporator to afford 2.19g of petroleum ether extract, 5.67g of chloroform extract and 80g of methanol extract. </w:t>
      </w:r>
    </w:p>
    <w:p>
      <w:pPr>
        <w:pStyle w:val="3"/>
        <w:jc w:val="both"/>
        <w:rPr>
          <w:rFonts w:ascii="Times New Roman" w:hAnsi="Times New Roman"/>
          <w:color w:val="auto"/>
          <w:sz w:val="24"/>
          <w:szCs w:val="24"/>
        </w:rPr>
      </w:pPr>
      <w:bookmarkStart w:id="44" w:name="_Toc31902"/>
      <w:bookmarkStart w:id="45" w:name="_Toc500733953"/>
      <w:r>
        <w:rPr>
          <w:rFonts w:ascii="Times New Roman" w:hAnsi="Times New Roman"/>
          <w:color w:val="auto"/>
          <w:sz w:val="24"/>
          <w:szCs w:val="24"/>
        </w:rPr>
        <w:t>3.3 Extract Dilution Preparation</w:t>
      </w:r>
      <w:bookmarkEnd w:id="44"/>
      <w:bookmarkEnd w:id="45"/>
    </w:p>
    <w:p>
      <w:pPr>
        <w:jc w:val="both"/>
        <w:rPr>
          <w:szCs w:val="24"/>
        </w:rPr>
      </w:pPr>
      <w:r>
        <w:rPr>
          <w:szCs w:val="24"/>
        </w:rPr>
        <w:t xml:space="preserve">0.05g of each crude extract was weighed and diluted in 50 mL volumetric flask by serial dilution and 100, 80, 60, 40 and 20 mg/L of crude extract was in methanol and diluted in distilled water used for antioxidant activities and 100, 75, 50, and 25 mg/L of crude extract was diluted in dimethyl sulfoxide (DMSO) used for antibacterial activities.  </w:t>
      </w:r>
    </w:p>
    <w:p>
      <w:pPr>
        <w:pStyle w:val="3"/>
        <w:jc w:val="both"/>
        <w:rPr>
          <w:rFonts w:ascii="Times New Roman" w:hAnsi="Times New Roman"/>
          <w:color w:val="auto"/>
          <w:sz w:val="24"/>
          <w:szCs w:val="24"/>
        </w:rPr>
      </w:pPr>
      <w:bookmarkStart w:id="46" w:name="_Toc9229"/>
      <w:r>
        <w:rPr>
          <w:rFonts w:ascii="Times New Roman" w:hAnsi="Times New Roman"/>
          <w:color w:val="auto"/>
          <w:sz w:val="24"/>
          <w:szCs w:val="24"/>
        </w:rPr>
        <w:t>3.4 Chemicals and Reagents</w:t>
      </w:r>
      <w:bookmarkEnd w:id="46"/>
    </w:p>
    <w:p>
      <w:pPr>
        <w:jc w:val="both"/>
        <w:rPr>
          <w:szCs w:val="24"/>
        </w:rPr>
      </w:pPr>
      <w:r>
        <w:rPr>
          <w:szCs w:val="24"/>
        </w:rPr>
        <w:t>The chemical used in the experiments were: methanol assay 99.9% and ethyl acetate assay 99.8% (Carlo Erba regents, India ), petroleum ether, silica gel 100-200mm mesh and chloroform assay 99.8% (Lobal Chemie Pvt. Ltd, India), DPPH (</w:t>
      </w:r>
      <w:r>
        <w:rPr>
          <w:rFonts w:eastAsia="TimesNewRomanPSMT"/>
          <w:szCs w:val="24"/>
        </w:rPr>
        <w:t>Sigma Aldrich products),</w:t>
      </w:r>
      <w:r>
        <w:rPr>
          <w:szCs w:val="24"/>
        </w:rPr>
        <w:t xml:space="preserve"> acetic acid glacial assay 99.7%, sulphuric acid, ascorbic acid assay 99%, hydrochloric acid,</w:t>
      </w:r>
      <w:r>
        <w:rPr>
          <w:rFonts w:eastAsia="TimesNewRomanPSMT"/>
          <w:szCs w:val="24"/>
        </w:rPr>
        <w:t xml:space="preserve"> potassium iodide, ferric chloride, </w:t>
      </w:r>
      <w:r>
        <w:rPr>
          <w:szCs w:val="24"/>
        </w:rPr>
        <w:t>iodine,  sodium phosphate buffer, potassium ferricyanide, trichloro acetic acid,  ferric sulfate, sodium hydroxide and dimethyl sulfoxide are Blulux laboratories Ltd (India) products; aluminum foil (Saudi Arabia), potassium bromide for IR (Uvasol, USA).</w:t>
      </w:r>
    </w:p>
    <w:p>
      <w:pPr>
        <w:pStyle w:val="3"/>
        <w:jc w:val="both"/>
        <w:rPr>
          <w:rFonts w:ascii="Times New Roman" w:hAnsi="Times New Roman"/>
          <w:color w:val="auto"/>
          <w:sz w:val="24"/>
          <w:szCs w:val="24"/>
        </w:rPr>
      </w:pPr>
      <w:bookmarkStart w:id="47" w:name="_Toc15942"/>
      <w:r>
        <w:rPr>
          <w:rFonts w:ascii="Times New Roman" w:hAnsi="Times New Roman"/>
          <w:color w:val="auto"/>
          <w:sz w:val="24"/>
          <w:szCs w:val="24"/>
        </w:rPr>
        <w:t>3.5 Apparatus</w:t>
      </w:r>
      <w:bookmarkEnd w:id="47"/>
    </w:p>
    <w:p>
      <w:pPr>
        <w:jc w:val="both"/>
        <w:rPr>
          <w:b/>
          <w:szCs w:val="24"/>
        </w:rPr>
      </w:pPr>
      <w:r>
        <w:rPr>
          <w:szCs w:val="24"/>
        </w:rPr>
        <w:t>The apparatus which were used in the experiments are: electronic balance(Nimbus), shaker (Heidolph unimax 2010, Germany), What man filter paper (125mm), pipettes (different size), Volumetric flask (5ml,</w:t>
      </w:r>
      <w:r>
        <w:rPr>
          <w:szCs w:val="24"/>
          <w:lang w:val="en-US"/>
        </w:rPr>
        <w:t xml:space="preserve"> </w:t>
      </w:r>
      <w:r>
        <w:rPr>
          <w:szCs w:val="24"/>
        </w:rPr>
        <w:t>10ml, 25ml, 50ml and 1000 ml), Test-tube, Infra-Red spectrometer (perkin Elmer), Oven (wagtech), Sterilizer (McFarland), Incubator, Rotary Evaporator (RE-52), analytical mills (mortar and pestle), water bath, UV lamp(365nm, EEC), beakers (25ml, 50ml, 100ml and 250ml), UV light cabinet, measuring cylinder, pencil, ruler, chromatographic chamber,  micro pipettes (10-100µl and 200-1000µl), Petri dish, condenser, conical flask(50ml, 500ml and 2000ml), round bottom flaks(25ml, 250ml),clump, metal stand, column chromatography (CR 50/50 and CR 50/40) and Cary 60 UV-VIS Spectrometer (Agilent Technologies, Australia).</w:t>
      </w:r>
    </w:p>
    <w:p>
      <w:pPr>
        <w:pStyle w:val="3"/>
        <w:jc w:val="both"/>
        <w:rPr>
          <w:rFonts w:ascii="Times New Roman" w:hAnsi="Times New Roman"/>
          <w:i/>
          <w:color w:val="auto"/>
          <w:sz w:val="24"/>
          <w:szCs w:val="24"/>
        </w:rPr>
      </w:pPr>
      <w:bookmarkStart w:id="48" w:name="_Toc17340"/>
      <w:r>
        <w:rPr>
          <w:rFonts w:ascii="Times New Roman" w:hAnsi="Times New Roman"/>
          <w:color w:val="auto"/>
          <w:sz w:val="24"/>
          <w:szCs w:val="24"/>
        </w:rPr>
        <w:t xml:space="preserve">3.6 Screening the antibacterial activity of methanolic and chloroform extracts of </w:t>
      </w:r>
      <w:r>
        <w:rPr>
          <w:rFonts w:ascii="Times New Roman" w:hAnsi="Times New Roman"/>
          <w:i/>
          <w:color w:val="auto"/>
          <w:sz w:val="24"/>
          <w:szCs w:val="24"/>
        </w:rPr>
        <w:t>V. sinaiticum</w:t>
      </w:r>
      <w:bookmarkEnd w:id="48"/>
    </w:p>
    <w:p>
      <w:pPr>
        <w:autoSpaceDE w:val="0"/>
        <w:autoSpaceDN w:val="0"/>
        <w:adjustRightInd w:val="0"/>
        <w:spacing w:after="0"/>
        <w:jc w:val="both"/>
        <w:rPr>
          <w:szCs w:val="24"/>
        </w:rPr>
      </w:pPr>
      <w:r>
        <w:rPr>
          <w:szCs w:val="24"/>
        </w:rPr>
        <w:t xml:space="preserve">Antimicrobial resistance tests were performed by Kirby-Bauer standard disk diffusion method [50, 51]. Bacterial inoculums prepared by suspending the freshly grown bacteria in 4–5mL sterile nutrient broth and the turbidity was adjusted to that of a 0.5 McFarland standard. The antimicrobial susceptibility testing was performed using Mueller-Hinton medium against gentamicin (10μg). </w:t>
      </w:r>
      <w:r>
        <w:rPr>
          <w:rFonts w:eastAsia="Times New Roman"/>
          <w:szCs w:val="24"/>
        </w:rPr>
        <w:t xml:space="preserve">The wells in each plate were loaded with 25%, 50%, 75% and 100% concentration of prepared extracts of </w:t>
      </w:r>
      <w:r>
        <w:rPr>
          <w:rFonts w:eastAsia="Times New Roman"/>
          <w:i/>
          <w:szCs w:val="24"/>
        </w:rPr>
        <w:t>V. sinaiticum (</w:t>
      </w:r>
      <w:r>
        <w:rPr>
          <w:rFonts w:eastAsia="Times New Roman"/>
          <w:szCs w:val="24"/>
        </w:rPr>
        <w:t>methanol and chloroform</w:t>
      </w:r>
      <w:r>
        <w:rPr>
          <w:rFonts w:eastAsia="Times New Roman"/>
          <w:i/>
          <w:szCs w:val="24"/>
        </w:rPr>
        <w:t xml:space="preserve">). </w:t>
      </w:r>
      <w:r>
        <w:rPr>
          <w:rFonts w:eastAsia="Times New Roman"/>
          <w:szCs w:val="24"/>
        </w:rPr>
        <w:t xml:space="preserve">The Petri plate was kept as a control contained pure solvent only. The plates were incubated at 37± 2 </w:t>
      </w:r>
      <w:r>
        <w:rPr>
          <w:rFonts w:eastAsia="Times New Roman"/>
          <w:szCs w:val="24"/>
          <w:vertAlign w:val="superscript"/>
        </w:rPr>
        <w:t>0</w:t>
      </w:r>
      <w:r>
        <w:rPr>
          <w:rFonts w:eastAsia="Times New Roman"/>
          <w:szCs w:val="24"/>
        </w:rPr>
        <w:t>C for 24 hours in the incubation chamber. The zone of growth inhibition was calculated by measuring the diameter of the inhibition zone around the well (in mm)</w:t>
      </w:r>
      <w:r>
        <w:rPr>
          <w:szCs w:val="24"/>
        </w:rPr>
        <w:t xml:space="preserve"> [50, 51].</w:t>
      </w:r>
    </w:p>
    <w:p>
      <w:pPr>
        <w:autoSpaceDE w:val="0"/>
        <w:autoSpaceDN w:val="0"/>
        <w:adjustRightInd w:val="0"/>
        <w:spacing w:after="0" w:line="240" w:lineRule="auto"/>
        <w:jc w:val="both"/>
        <w:rPr>
          <w:rFonts w:eastAsia="SimSun"/>
          <w:szCs w:val="24"/>
        </w:rPr>
      </w:pPr>
    </w:p>
    <w:p>
      <w:pPr>
        <w:pStyle w:val="3"/>
        <w:jc w:val="both"/>
        <w:rPr>
          <w:rFonts w:ascii="Times New Roman" w:hAnsi="Times New Roman"/>
          <w:color w:val="auto"/>
          <w:sz w:val="24"/>
          <w:szCs w:val="24"/>
        </w:rPr>
      </w:pPr>
      <w:bookmarkStart w:id="49" w:name="_Toc26092"/>
      <w:r>
        <w:rPr>
          <w:rFonts w:ascii="Times New Roman" w:hAnsi="Times New Roman"/>
          <w:color w:val="auto"/>
          <w:sz w:val="24"/>
          <w:szCs w:val="24"/>
        </w:rPr>
        <w:t>3.7 Determination of the antioxidant activity by the DPPH assay</w:t>
      </w:r>
      <w:bookmarkEnd w:id="49"/>
    </w:p>
    <w:p>
      <w:pPr>
        <w:autoSpaceDE w:val="0"/>
        <w:autoSpaceDN w:val="0"/>
        <w:adjustRightInd w:val="0"/>
        <w:jc w:val="both"/>
        <w:rPr>
          <w:szCs w:val="24"/>
        </w:rPr>
      </w:pPr>
      <w:r>
        <w:rPr>
          <w:szCs w:val="24"/>
        </w:rPr>
        <w:t xml:space="preserve">DPPH radical scavenging by </w:t>
      </w:r>
      <w:r>
        <w:rPr>
          <w:i/>
          <w:iCs/>
          <w:szCs w:val="24"/>
        </w:rPr>
        <w:t xml:space="preserve">V.sinaiticum </w:t>
      </w:r>
      <w:r>
        <w:rPr>
          <w:szCs w:val="24"/>
        </w:rPr>
        <w:t>extracts was estimated according to a previously reported method [37, 38]. The crude extracts of different solvents (Chloroform and methanol) of the plant were screened for DPPH radical scavenging activity. Extract solutions were prepared by dissolving 0.05g of dry extract of both solvent in 50 mL of methanol. An aliquot of 2 mL of 0.004% DPPH solution in methanol and 1mL of plant extract in methanol at various concentrations (20, 40, 60, 80 and 100mg/L) were mixed and incubated at 25°C for 30 minutes. and absorbance of the test mixture was read at 517nm using a spectrophotometer against a DPPH control containing only 1mL of methanol in place of the extract. The DPPH solution in methanol was prepared freshly before the absorbance measurements.  Some as above experiments were performed triplicate and the results were averaged. Ascorbic acid was used as a standard [37, 38]. The scavenging effect of the root extracts was determined with a linear curve of ascorbic acid standard.</w:t>
      </w:r>
    </w:p>
    <w:p>
      <w:pPr>
        <w:pStyle w:val="25"/>
        <w:spacing w:line="360" w:lineRule="auto"/>
        <w:jc w:val="both"/>
        <w:rPr>
          <w:rFonts w:eastAsia="SimSun"/>
          <w:color w:val="auto"/>
        </w:rPr>
      </w:pPr>
      <w:r>
        <w:rPr>
          <w:color w:val="auto"/>
        </w:rPr>
        <w:t xml:space="preserve"> Percent inhibition was calculated using the following expression </w:t>
      </w:r>
    </w:p>
    <w:p>
      <w:pPr>
        <w:jc w:val="both"/>
        <w:rPr>
          <w:szCs w:val="24"/>
        </w:rPr>
      </w:pPr>
      <w:r>
        <w:rPr>
          <w:szCs w:val="24"/>
        </w:rPr>
        <w:t>% Inhibition = ((</w:t>
      </w:r>
      <w:r>
        <w:rPr>
          <w:b/>
          <w:bCs/>
          <w:szCs w:val="24"/>
        </w:rPr>
        <w:t>A</w:t>
      </w:r>
      <w:r>
        <w:rPr>
          <w:szCs w:val="24"/>
        </w:rPr>
        <w:t xml:space="preserve"> blank – </w:t>
      </w:r>
      <w:r>
        <w:rPr>
          <w:b/>
          <w:bCs/>
          <w:szCs w:val="24"/>
        </w:rPr>
        <w:t>A</w:t>
      </w:r>
      <w:r>
        <w:rPr>
          <w:szCs w:val="24"/>
        </w:rPr>
        <w:t xml:space="preserve"> sample) /A blank) x 100 </w:t>
      </w:r>
    </w:p>
    <w:p>
      <w:pPr>
        <w:jc w:val="both"/>
        <w:rPr>
          <w:szCs w:val="24"/>
        </w:rPr>
      </w:pPr>
      <w:r>
        <w:rPr>
          <w:szCs w:val="24"/>
        </w:rPr>
        <w:t>Where</w:t>
      </w:r>
      <w:r>
        <w:rPr>
          <w:b/>
          <w:bCs/>
          <w:szCs w:val="24"/>
        </w:rPr>
        <w:t xml:space="preserve"> A</w:t>
      </w:r>
      <w:r>
        <w:rPr>
          <w:szCs w:val="24"/>
        </w:rPr>
        <w:t xml:space="preserve"> blank and</w:t>
      </w:r>
      <w:r>
        <w:rPr>
          <w:b/>
          <w:bCs/>
          <w:szCs w:val="24"/>
        </w:rPr>
        <w:t xml:space="preserve"> A</w:t>
      </w:r>
      <w:r>
        <w:rPr>
          <w:szCs w:val="24"/>
        </w:rPr>
        <w:t xml:space="preserve"> sample= stand for absorption of the blank sample and absorption of tested extract solution respectively.</w:t>
      </w:r>
    </w:p>
    <w:p>
      <w:pPr>
        <w:pStyle w:val="3"/>
        <w:jc w:val="both"/>
        <w:rPr>
          <w:rFonts w:ascii="Times New Roman" w:hAnsi="Times New Roman"/>
          <w:color w:val="auto"/>
          <w:sz w:val="24"/>
          <w:szCs w:val="24"/>
        </w:rPr>
      </w:pPr>
      <w:bookmarkStart w:id="50" w:name="_Toc6868"/>
      <w:r>
        <w:rPr>
          <w:rFonts w:ascii="Times New Roman" w:hAnsi="Times New Roman"/>
          <w:color w:val="auto"/>
          <w:sz w:val="24"/>
          <w:szCs w:val="24"/>
        </w:rPr>
        <w:t>3.8 Ferric reducing antioxidant power assay</w:t>
      </w:r>
      <w:bookmarkEnd w:id="50"/>
    </w:p>
    <w:p>
      <w:pPr>
        <w:autoSpaceDE w:val="0"/>
        <w:autoSpaceDN w:val="0"/>
        <w:adjustRightInd w:val="0"/>
        <w:jc w:val="both"/>
        <w:rPr>
          <w:szCs w:val="24"/>
        </w:rPr>
      </w:pPr>
      <w:r>
        <w:rPr>
          <w:szCs w:val="24"/>
        </w:rPr>
        <w:t>Antioxidant capacity as per reducing power assay was measured according to a method reported [52]. Briefly, a set of 5 dilutions of methanolic extract was prepared in 50% aqueous methanol ranging from 20 mg/L to 100 mg/L. In a test tube, 2.5 mL plant extract, 2.5 mL sodium phosphate buffer (0.2 M, pH 6.6) and 2.5 mL potassium ferricyanide (1% w/v in distilled water) were added and mixed well. The mixture was incubated in a water bath for 20 min at 50 °C. Then, 2.5 mL Trichloro acetic acid (10% w/v in distilled water) was added, and the mixture was centrifuged at 650 rpm for 10 min. The supernatant (5 ml) was taken into a test tube and 5 mL distilled water and 1 mL ferric chloride (0.1% w/v in distilled water) solution was added and mixed well. Absorbance was measured at 700 nm. Blank for each solvent was run using the same procedure but replacing the plant extract with an equal volume of solvent.</w:t>
      </w:r>
    </w:p>
    <w:p>
      <w:pPr>
        <w:pStyle w:val="3"/>
        <w:jc w:val="both"/>
        <w:rPr>
          <w:rFonts w:ascii="Times New Roman" w:hAnsi="Times New Roman"/>
          <w:color w:val="auto"/>
          <w:sz w:val="24"/>
          <w:szCs w:val="24"/>
        </w:rPr>
      </w:pPr>
      <w:bookmarkStart w:id="51" w:name="_Toc500733956"/>
      <w:bookmarkStart w:id="52" w:name="_Toc20517"/>
      <w:r>
        <w:rPr>
          <w:rFonts w:ascii="Times New Roman" w:hAnsi="Times New Roman"/>
          <w:color w:val="auto"/>
          <w:sz w:val="24"/>
          <w:szCs w:val="24"/>
        </w:rPr>
        <w:t>3.9 Phytochemical Screening</w:t>
      </w:r>
      <w:bookmarkEnd w:id="51"/>
      <w:bookmarkEnd w:id="52"/>
    </w:p>
    <w:p>
      <w:pPr>
        <w:jc w:val="both"/>
        <w:rPr>
          <w:szCs w:val="24"/>
        </w:rPr>
      </w:pPr>
      <w:r>
        <w:rPr>
          <w:szCs w:val="24"/>
        </w:rPr>
        <w:t xml:space="preserve">The </w:t>
      </w:r>
      <w:r>
        <w:rPr>
          <w:i/>
          <w:iCs/>
          <w:szCs w:val="24"/>
        </w:rPr>
        <w:t>V</w:t>
      </w:r>
      <w:r>
        <w:rPr>
          <w:i/>
          <w:szCs w:val="24"/>
        </w:rPr>
        <w:t xml:space="preserve">. sinaiticum </w:t>
      </w:r>
      <w:r>
        <w:rPr>
          <w:szCs w:val="24"/>
        </w:rPr>
        <w:t>roots of the crude (chloroform and methanolic) extracts were screened for the presence of the phytochemical classes by using the standard methods [53-55].</w:t>
      </w:r>
    </w:p>
    <w:p>
      <w:pPr>
        <w:pStyle w:val="4"/>
        <w:jc w:val="both"/>
        <w:rPr>
          <w:rFonts w:ascii="Times New Roman" w:hAnsi="Times New Roman"/>
          <w:color w:val="auto"/>
          <w:sz w:val="24"/>
          <w:szCs w:val="24"/>
        </w:rPr>
      </w:pPr>
      <w:bookmarkStart w:id="53" w:name="_Toc500733957"/>
      <w:bookmarkStart w:id="54" w:name="_Toc192"/>
      <w:r>
        <w:rPr>
          <w:rFonts w:ascii="Times New Roman" w:hAnsi="Times New Roman"/>
          <w:color w:val="auto"/>
          <w:sz w:val="24"/>
          <w:szCs w:val="24"/>
        </w:rPr>
        <w:t>3.9.1 Test for Phenolic Compounds</w:t>
      </w:r>
      <w:bookmarkEnd w:id="53"/>
      <w:bookmarkEnd w:id="54"/>
    </w:p>
    <w:p>
      <w:pPr>
        <w:autoSpaceDE w:val="0"/>
        <w:autoSpaceDN w:val="0"/>
        <w:adjustRightInd w:val="0"/>
        <w:jc w:val="both"/>
        <w:rPr>
          <w:rStyle w:val="22"/>
          <w:rFonts w:ascii="Times New Roman" w:hAnsi="Times New Roman" w:eastAsia="Calibri"/>
          <w:b w:val="0"/>
          <w:bCs w:val="0"/>
          <w:color w:val="auto"/>
          <w:szCs w:val="24"/>
        </w:rPr>
      </w:pPr>
      <w:r>
        <w:rPr>
          <w:szCs w:val="24"/>
        </w:rPr>
        <w:t xml:space="preserve">To test for presence of  phenolic compounds, few drops of ferric sulfate (1 mL) were added to each extract solution (2mL). Formation of dark-violet color indicated the presence of phenolic compounds [53] </w:t>
      </w:r>
    </w:p>
    <w:p>
      <w:pPr>
        <w:pStyle w:val="4"/>
        <w:jc w:val="both"/>
        <w:rPr>
          <w:rFonts w:ascii="Times New Roman" w:hAnsi="Times New Roman"/>
          <w:color w:val="auto"/>
          <w:sz w:val="24"/>
          <w:szCs w:val="24"/>
        </w:rPr>
      </w:pPr>
      <w:bookmarkStart w:id="55" w:name="_Toc500733959"/>
      <w:bookmarkStart w:id="56" w:name="_Toc22326"/>
      <w:r>
        <w:rPr>
          <w:rFonts w:ascii="Times New Roman" w:hAnsi="Times New Roman" w:eastAsia="Calibri"/>
          <w:color w:val="auto"/>
          <w:sz w:val="24"/>
          <w:szCs w:val="24"/>
        </w:rPr>
        <w:t>3.9.2 Test for Alkaloids</w:t>
      </w:r>
      <w:bookmarkEnd w:id="55"/>
      <w:bookmarkEnd w:id="56"/>
    </w:p>
    <w:p>
      <w:pPr>
        <w:jc w:val="both"/>
        <w:rPr>
          <w:b/>
          <w:szCs w:val="24"/>
        </w:rPr>
      </w:pPr>
      <w:r>
        <w:rPr>
          <w:i/>
          <w:szCs w:val="24"/>
        </w:rPr>
        <w:t>Wagner’s test</w:t>
      </w:r>
      <w:r>
        <w:rPr>
          <w:b/>
          <w:szCs w:val="24"/>
        </w:rPr>
        <w:t xml:space="preserve">: </w:t>
      </w:r>
      <w:r>
        <w:rPr>
          <w:szCs w:val="24"/>
        </w:rPr>
        <w:t>A few drops (2 mL) of Wagner’s reagent were added to 2 mL of plant extract along the sides of test tube. A reddish- Brown precipitate confirms the presence of alkaloids [54].</w:t>
      </w:r>
    </w:p>
    <w:p>
      <w:pPr>
        <w:jc w:val="both"/>
        <w:rPr>
          <w:b/>
          <w:szCs w:val="24"/>
        </w:rPr>
      </w:pPr>
      <w:bookmarkStart w:id="57" w:name="_Toc500733960"/>
      <w:r>
        <w:rPr>
          <w:b/>
          <w:szCs w:val="24"/>
        </w:rPr>
        <w:t>3.9.3 Test for Tannins</w:t>
      </w:r>
      <w:bookmarkEnd w:id="57"/>
      <w:r>
        <w:rPr>
          <w:b/>
          <w:szCs w:val="24"/>
        </w:rPr>
        <w:tab/>
      </w:r>
    </w:p>
    <w:p>
      <w:pPr>
        <w:autoSpaceDE w:val="0"/>
        <w:autoSpaceDN w:val="0"/>
        <w:adjustRightInd w:val="0"/>
        <w:jc w:val="both"/>
        <w:rPr>
          <w:szCs w:val="24"/>
        </w:rPr>
      </w:pPr>
      <w:r>
        <w:rPr>
          <w:szCs w:val="24"/>
        </w:rPr>
        <w:t>2 ml of each methanol and chloroform crude extracts was added 1 mL of FeCl</w:t>
      </w:r>
      <w:r>
        <w:rPr>
          <w:szCs w:val="24"/>
          <w:vertAlign w:val="subscript"/>
        </w:rPr>
        <w:t>3</w:t>
      </w:r>
      <w:r>
        <w:rPr>
          <w:szCs w:val="24"/>
        </w:rPr>
        <w:t>. A blue green or black color indicates presence of tannins [53]</w:t>
      </w:r>
    </w:p>
    <w:p>
      <w:pPr>
        <w:pStyle w:val="4"/>
        <w:jc w:val="both"/>
        <w:rPr>
          <w:rFonts w:ascii="Times New Roman" w:hAnsi="Times New Roman"/>
          <w:color w:val="auto"/>
          <w:sz w:val="24"/>
          <w:szCs w:val="24"/>
        </w:rPr>
      </w:pPr>
      <w:bookmarkStart w:id="58" w:name="_Toc500733961"/>
      <w:bookmarkStart w:id="59" w:name="_Toc19760"/>
      <w:r>
        <w:rPr>
          <w:rFonts w:ascii="Times New Roman" w:hAnsi="Times New Roman"/>
          <w:color w:val="auto"/>
          <w:sz w:val="24"/>
          <w:szCs w:val="24"/>
        </w:rPr>
        <w:t>3.9.4 Test for Saponins</w:t>
      </w:r>
      <w:bookmarkEnd w:id="58"/>
      <w:bookmarkEnd w:id="59"/>
      <w:r>
        <w:rPr>
          <w:rFonts w:ascii="Times New Roman" w:hAnsi="Times New Roman"/>
          <w:color w:val="auto"/>
          <w:sz w:val="24"/>
          <w:szCs w:val="24"/>
        </w:rPr>
        <w:tab/>
      </w:r>
    </w:p>
    <w:p>
      <w:pPr>
        <w:autoSpaceDE w:val="0"/>
        <w:autoSpaceDN w:val="0"/>
        <w:adjustRightInd w:val="0"/>
        <w:jc w:val="both"/>
        <w:rPr>
          <w:szCs w:val="24"/>
        </w:rPr>
      </w:pPr>
      <w:r>
        <w:rPr>
          <w:szCs w:val="24"/>
        </w:rPr>
        <w:t xml:space="preserve">To 0.5 g of each methanol and chloroform crude extracts was added 2 mL of distilled water, shaken well and formation of 1 cm layer of foam indicates presence of saponins [55] </w:t>
      </w:r>
    </w:p>
    <w:p>
      <w:pPr>
        <w:pStyle w:val="4"/>
        <w:jc w:val="both"/>
        <w:rPr>
          <w:rFonts w:ascii="Times New Roman" w:hAnsi="Times New Roman"/>
          <w:color w:val="auto"/>
          <w:sz w:val="24"/>
          <w:szCs w:val="24"/>
        </w:rPr>
      </w:pPr>
      <w:bookmarkStart w:id="60" w:name="_Toc10400"/>
      <w:bookmarkStart w:id="61" w:name="_Toc500733962"/>
      <w:r>
        <w:rPr>
          <w:rFonts w:ascii="Times New Roman" w:hAnsi="Times New Roman"/>
          <w:color w:val="auto"/>
          <w:sz w:val="24"/>
          <w:szCs w:val="24"/>
        </w:rPr>
        <w:t>3.9.5 Test for Flavonoids</w:t>
      </w:r>
      <w:bookmarkEnd w:id="60"/>
      <w:bookmarkEnd w:id="61"/>
      <w:r>
        <w:rPr>
          <w:rFonts w:ascii="Times New Roman" w:hAnsi="Times New Roman"/>
          <w:color w:val="auto"/>
          <w:sz w:val="24"/>
          <w:szCs w:val="24"/>
        </w:rPr>
        <w:tab/>
      </w:r>
    </w:p>
    <w:p>
      <w:pPr>
        <w:jc w:val="both"/>
        <w:rPr>
          <w:szCs w:val="24"/>
        </w:rPr>
      </w:pPr>
      <w:r>
        <w:rPr>
          <w:i/>
          <w:szCs w:val="24"/>
        </w:rPr>
        <w:t>Alkaline reagent test</w:t>
      </w:r>
      <w:r>
        <w:rPr>
          <w:szCs w:val="24"/>
        </w:rPr>
        <w:t>: 2 mL of 2% NaOH (sodium hydroxide)  solution was mixed with plant crude extract, intensive yellow color was formed, which turned into colorless when added 2 drops of diluted hydrochloride acid to solution, this result indicated the presence of flavonoids [55]</w:t>
      </w:r>
    </w:p>
    <w:p>
      <w:pPr>
        <w:pStyle w:val="4"/>
        <w:jc w:val="both"/>
        <w:rPr>
          <w:rFonts w:ascii="Times New Roman" w:hAnsi="Times New Roman"/>
          <w:color w:val="auto"/>
          <w:sz w:val="24"/>
          <w:szCs w:val="24"/>
        </w:rPr>
      </w:pPr>
      <w:bookmarkStart w:id="62" w:name="_Toc8679"/>
      <w:r>
        <w:rPr>
          <w:rFonts w:ascii="Times New Roman" w:hAnsi="Times New Roman"/>
          <w:color w:val="auto"/>
          <w:sz w:val="24"/>
          <w:szCs w:val="24"/>
        </w:rPr>
        <w:t>3.9.6 Tests for Glycosides</w:t>
      </w:r>
      <w:bookmarkEnd w:id="62"/>
    </w:p>
    <w:p>
      <w:pPr>
        <w:jc w:val="both"/>
        <w:rPr>
          <w:szCs w:val="24"/>
        </w:rPr>
      </w:pPr>
      <w:r>
        <w:rPr>
          <w:i/>
          <w:szCs w:val="24"/>
        </w:rPr>
        <w:t>Liebermann’s test</w:t>
      </w:r>
      <w:r>
        <w:rPr>
          <w:szCs w:val="24"/>
        </w:rPr>
        <w:t>: 2 mL of acetic acid and 2 mL of chloroform mixed with entire plant crude extract. The mixture was then cooled and added H</w:t>
      </w:r>
      <w:r>
        <w:rPr>
          <w:szCs w:val="24"/>
          <w:vertAlign w:val="subscript"/>
        </w:rPr>
        <w:t>2</w:t>
      </w:r>
      <w:r>
        <w:rPr>
          <w:szCs w:val="24"/>
        </w:rPr>
        <w:t>SO4 concentrated, green color indicated the entity of aglycone steroidal part of glycosides [55]</w:t>
      </w:r>
    </w:p>
    <w:p>
      <w:pPr>
        <w:jc w:val="both"/>
        <w:rPr>
          <w:szCs w:val="24"/>
        </w:rPr>
      </w:pPr>
      <w:r>
        <w:rPr>
          <w:i/>
          <w:szCs w:val="24"/>
        </w:rPr>
        <w:t>Salkowski’s test:</w:t>
      </w:r>
      <w:r>
        <w:rPr>
          <w:szCs w:val="24"/>
        </w:rPr>
        <w:t xml:space="preserve"> H</w:t>
      </w:r>
      <w:r>
        <w:rPr>
          <w:szCs w:val="24"/>
          <w:vertAlign w:val="subscript"/>
        </w:rPr>
        <w:t>2</w:t>
      </w:r>
      <w:r>
        <w:rPr>
          <w:szCs w:val="24"/>
        </w:rPr>
        <w:t>SO4 concentrated (about 2 mL) was added to the entire plant crude extract. A reddish brown color produced indicated the entity of steroidal aglycone part of the glycoside [55, 56]</w:t>
      </w:r>
    </w:p>
    <w:p>
      <w:pPr>
        <w:pStyle w:val="4"/>
        <w:jc w:val="both"/>
        <w:rPr>
          <w:rFonts w:ascii="Times New Roman" w:hAnsi="Times New Roman"/>
          <w:color w:val="auto"/>
          <w:sz w:val="24"/>
          <w:szCs w:val="24"/>
        </w:rPr>
      </w:pPr>
      <w:bookmarkStart w:id="63" w:name="_Toc2106"/>
      <w:r>
        <w:rPr>
          <w:rFonts w:ascii="Times New Roman" w:hAnsi="Times New Roman"/>
          <w:color w:val="auto"/>
          <w:sz w:val="24"/>
          <w:szCs w:val="24"/>
        </w:rPr>
        <w:t>3.9.7 Test for Steroid</w:t>
      </w:r>
      <w:bookmarkEnd w:id="63"/>
    </w:p>
    <w:p>
      <w:pPr>
        <w:jc w:val="both"/>
        <w:rPr>
          <w:szCs w:val="24"/>
        </w:rPr>
      </w:pPr>
      <w:r>
        <w:rPr>
          <w:i/>
          <w:szCs w:val="24"/>
        </w:rPr>
        <w:t>Liebermann burchard test:</w:t>
      </w:r>
      <w:r>
        <w:rPr>
          <w:szCs w:val="24"/>
        </w:rPr>
        <w:t xml:space="preserve"> Two milliliter of chloroform and concentrated H</w:t>
      </w:r>
      <w:r>
        <w:rPr>
          <w:szCs w:val="24"/>
          <w:vertAlign w:val="subscript"/>
        </w:rPr>
        <w:t>2</w:t>
      </w:r>
      <w:r>
        <w:rPr>
          <w:szCs w:val="24"/>
        </w:rPr>
        <w:t>SO4 were mixed with the entire plant crude extract. In the lower chloroform layer produced red color that indicated the presence of steroids [55, 56]</w:t>
      </w:r>
    </w:p>
    <w:p>
      <w:pPr>
        <w:jc w:val="both"/>
        <w:rPr>
          <w:szCs w:val="24"/>
        </w:rPr>
      </w:pPr>
      <w:r>
        <w:rPr>
          <w:i/>
          <w:szCs w:val="24"/>
        </w:rPr>
        <w:t>Salkowski test</w:t>
      </w:r>
      <w:r>
        <w:rPr>
          <w:szCs w:val="24"/>
        </w:rPr>
        <w:t>:  Another test was performed by mixing 2 mL of each of acetic acid with H</w:t>
      </w:r>
      <w:r>
        <w:rPr>
          <w:szCs w:val="24"/>
          <w:vertAlign w:val="subscript"/>
        </w:rPr>
        <w:t>2</w:t>
      </w:r>
      <w:r>
        <w:rPr>
          <w:szCs w:val="24"/>
        </w:rPr>
        <w:t>SO4 concentrated and crude extract with 2 mL of chloroform. Green color indicated the entity of steroids [55, 56]</w:t>
      </w:r>
    </w:p>
    <w:p>
      <w:pPr>
        <w:pStyle w:val="2"/>
        <w:jc w:val="both"/>
        <w:rPr>
          <w:rFonts w:ascii="Times New Roman" w:hAnsi="Times New Roman"/>
          <w:color w:val="auto"/>
          <w:sz w:val="24"/>
          <w:szCs w:val="24"/>
        </w:rPr>
      </w:pPr>
    </w:p>
    <w:p>
      <w:pPr>
        <w:jc w:val="both"/>
        <w:rPr>
          <w:szCs w:val="24"/>
        </w:rPr>
      </w:pPr>
    </w:p>
    <w:p>
      <w:pPr>
        <w:pStyle w:val="2"/>
        <w:jc w:val="both"/>
        <w:rPr>
          <w:rFonts w:ascii="Times New Roman" w:hAnsi="Times New Roman"/>
          <w:color w:val="auto"/>
          <w:sz w:val="24"/>
          <w:szCs w:val="24"/>
        </w:rPr>
      </w:pPr>
    </w:p>
    <w:p>
      <w:pPr>
        <w:jc w:val="both"/>
      </w:pPr>
    </w:p>
    <w:p>
      <w:pPr>
        <w:jc w:val="both"/>
      </w:pPr>
    </w:p>
    <w:p>
      <w:pPr>
        <w:jc w:val="both"/>
      </w:pPr>
    </w:p>
    <w:p>
      <w:pPr>
        <w:jc w:val="both"/>
      </w:pPr>
    </w:p>
    <w:p>
      <w:pPr>
        <w:jc w:val="both"/>
      </w:pPr>
    </w:p>
    <w:p>
      <w:pPr>
        <w:jc w:val="both"/>
      </w:pPr>
    </w:p>
    <w:p>
      <w:pPr>
        <w:pStyle w:val="2"/>
        <w:jc w:val="both"/>
        <w:rPr>
          <w:rFonts w:ascii="Times New Roman" w:hAnsi="Times New Roman"/>
          <w:color w:val="auto"/>
        </w:rPr>
      </w:pPr>
      <w:bookmarkStart w:id="64" w:name="_Toc16380"/>
      <w:r>
        <w:rPr>
          <w:rFonts w:ascii="Times New Roman" w:hAnsi="Times New Roman"/>
          <w:color w:val="auto"/>
        </w:rPr>
        <w:t>4. RESULTS AND DISCUSSION</w:t>
      </w:r>
      <w:bookmarkEnd w:id="64"/>
    </w:p>
    <w:p>
      <w:pPr>
        <w:pStyle w:val="3"/>
        <w:jc w:val="both"/>
        <w:rPr>
          <w:rFonts w:ascii="Times New Roman" w:hAnsi="Times New Roman"/>
          <w:color w:val="auto"/>
          <w:sz w:val="24"/>
          <w:szCs w:val="24"/>
        </w:rPr>
      </w:pPr>
      <w:bookmarkStart w:id="65" w:name="_Toc29937"/>
      <w:r>
        <w:rPr>
          <w:rFonts w:ascii="Times New Roman" w:hAnsi="Times New Roman"/>
          <w:color w:val="auto"/>
          <w:sz w:val="24"/>
          <w:szCs w:val="24"/>
        </w:rPr>
        <w:t>4.1 Phytochemical screening</w:t>
      </w:r>
      <w:bookmarkEnd w:id="65"/>
    </w:p>
    <w:p>
      <w:pPr>
        <w:jc w:val="both"/>
        <w:rPr>
          <w:szCs w:val="24"/>
        </w:rPr>
      </w:pPr>
      <w:r>
        <w:rPr>
          <w:szCs w:val="24"/>
        </w:rPr>
        <w:t xml:space="preserve">Phytochemical screening showed the presence of the usual phytochemicals in both the methanol and chloroform extracts of the roots </w:t>
      </w:r>
      <w:r>
        <w:rPr>
          <w:i/>
          <w:szCs w:val="24"/>
        </w:rPr>
        <w:t xml:space="preserve">V. sincaiticum. </w:t>
      </w:r>
      <w:r>
        <w:rPr>
          <w:szCs w:val="24"/>
        </w:rPr>
        <w:t xml:space="preserve">The </w:t>
      </w:r>
      <w:r>
        <w:rPr>
          <w:i/>
          <w:szCs w:val="24"/>
        </w:rPr>
        <w:t>V. sinaiticum</w:t>
      </w:r>
      <w:r>
        <w:rPr>
          <w:szCs w:val="24"/>
        </w:rPr>
        <w:t xml:space="preserve"> methanolic extract showed the presence of alkaloids, saponin, tannin, flavonoids, glycosides, steroids and phenols. </w:t>
      </w:r>
      <w:r>
        <w:rPr>
          <w:iCs/>
          <w:szCs w:val="24"/>
        </w:rPr>
        <w:t>However, the extract of the latter solvent did not show alkaloids, tannins and phenols.</w:t>
      </w:r>
    </w:p>
    <w:p>
      <w:pPr>
        <w:pStyle w:val="6"/>
        <w:jc w:val="both"/>
        <w:rPr>
          <w:rFonts w:ascii="Times New Roman" w:hAnsi="Times New Roman" w:cs="Times New Roman"/>
          <w:sz w:val="24"/>
          <w:szCs w:val="24"/>
        </w:rPr>
      </w:pPr>
      <w:r>
        <w:rPr>
          <w:rFonts w:ascii="Times New Roman" w:hAnsi="Times New Roman" w:cs="Times New Roman"/>
          <w:b/>
          <w:bCs/>
          <w:sz w:val="24"/>
          <w:szCs w:val="24"/>
        </w:rPr>
        <w:t xml:space="preserve">Table </w:t>
      </w: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SEQ Table \* ARABIC </w:instrText>
      </w:r>
      <w:r>
        <w:rPr>
          <w:rFonts w:ascii="Times New Roman" w:hAnsi="Times New Roman" w:cs="Times New Roman"/>
          <w:b/>
          <w:bCs/>
          <w:sz w:val="24"/>
          <w:szCs w:val="24"/>
        </w:rPr>
        <w:fldChar w:fldCharType="separate"/>
      </w:r>
      <w:r>
        <w:rPr>
          <w:rFonts w:ascii="Times New Roman" w:hAnsi="Times New Roman" w:cs="Times New Roman"/>
          <w:b/>
          <w:bCs/>
          <w:sz w:val="24"/>
          <w:szCs w:val="24"/>
        </w:rPr>
        <w:t>1</w:t>
      </w:r>
      <w:r>
        <w:rPr>
          <w:rFonts w:ascii="Times New Roman" w:hAnsi="Times New Roman" w:cs="Times New Roman"/>
          <w:b/>
          <w:bCs/>
          <w:sz w:val="24"/>
          <w:szCs w:val="24"/>
        </w:rPr>
        <w:fldChar w:fldCharType="end"/>
      </w:r>
      <w:bookmarkStart w:id="66" w:name="_Toc10754"/>
      <w:r>
        <w:rPr>
          <w:rFonts w:ascii="Times New Roman" w:hAnsi="Times New Roman" w:cs="Times New Roman"/>
          <w:sz w:val="24"/>
          <w:szCs w:val="24"/>
        </w:rPr>
        <w:t xml:space="preserve">: Phytochemical constituents in </w:t>
      </w:r>
      <w:r>
        <w:rPr>
          <w:rFonts w:ascii="Times New Roman" w:hAnsi="Times New Roman" w:cs="Times New Roman"/>
          <w:i/>
          <w:iCs/>
          <w:sz w:val="24"/>
          <w:szCs w:val="24"/>
        </w:rPr>
        <w:t>Verbascum sinaiticum</w:t>
      </w:r>
      <w:r>
        <w:rPr>
          <w:rFonts w:ascii="Times New Roman" w:hAnsi="Times New Roman" w:cs="Times New Roman"/>
          <w:sz w:val="24"/>
          <w:szCs w:val="24"/>
        </w:rPr>
        <w:t xml:space="preserve"> root extracts</w:t>
      </w:r>
      <w:bookmarkEnd w:id="66"/>
    </w:p>
    <w:tbl>
      <w:tblPr>
        <w:tblStyle w:val="17"/>
        <w:tblW w:w="9576" w:type="dxa"/>
        <w:tblInd w:w="0" w:type="dxa"/>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18"/>
        <w:gridCol w:w="3420"/>
        <w:gridCol w:w="2070"/>
        <w:gridCol w:w="2268"/>
      </w:tblGrid>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1818" w:type="dxa"/>
            <w:tcBorders>
              <w:top w:val="single" w:color="auto" w:sz="4" w:space="0"/>
              <w:left w:val="single" w:color="auto" w:sz="4" w:space="0"/>
              <w:bottom w:val="single" w:color="000000" w:themeColor="text1" w:sz="8" w:space="0"/>
              <w:right w:val="nil"/>
              <w:insideH w:val="single" w:sz="8" w:space="0"/>
              <w:insideV w:val="nil"/>
            </w:tcBorders>
          </w:tcPr>
          <w:p>
            <w:pPr>
              <w:spacing w:before="0" w:after="0"/>
              <w:jc w:val="both"/>
              <w:rPr>
                <w:rFonts w:eastAsiaTheme="majorEastAsia"/>
                <w:b/>
                <w:bCs/>
                <w:color w:val="auto"/>
                <w:szCs w:val="24"/>
              </w:rPr>
            </w:pPr>
            <w:r>
              <w:rPr>
                <w:rFonts w:eastAsiaTheme="majorEastAsia"/>
                <w:b w:val="0"/>
                <w:bCs/>
                <w:color w:val="auto"/>
                <w:szCs w:val="24"/>
              </w:rPr>
              <w:t>Phytochemical constituents</w:t>
            </w:r>
          </w:p>
        </w:tc>
        <w:tc>
          <w:tcPr>
            <w:tcW w:w="3420" w:type="dxa"/>
            <w:tcBorders>
              <w:top w:val="single" w:color="auto" w:sz="4" w:space="0"/>
              <w:bottom w:val="single" w:color="000000" w:themeColor="text1" w:sz="8" w:space="0"/>
              <w:right w:val="nil"/>
              <w:insideH w:val="single" w:sz="8" w:space="0"/>
              <w:insideV w:val="nil"/>
            </w:tcBorders>
          </w:tcPr>
          <w:p>
            <w:pPr>
              <w:spacing w:before="0" w:after="0"/>
              <w:jc w:val="both"/>
              <w:rPr>
                <w:rFonts w:eastAsiaTheme="majorEastAsia"/>
                <w:b/>
                <w:bCs w:val="0"/>
                <w:color w:val="auto"/>
                <w:szCs w:val="24"/>
              </w:rPr>
            </w:pPr>
            <w:r>
              <w:rPr>
                <w:rFonts w:eastAsiaTheme="majorEastAsia"/>
                <w:b w:val="0"/>
                <w:bCs/>
                <w:color w:val="auto"/>
                <w:szCs w:val="24"/>
              </w:rPr>
              <w:t xml:space="preserve">Test performed  </w:t>
            </w:r>
          </w:p>
        </w:tc>
        <w:tc>
          <w:tcPr>
            <w:tcW w:w="2070" w:type="dxa"/>
            <w:tcBorders>
              <w:top w:val="single" w:color="auto" w:sz="4" w:space="0"/>
              <w:bottom w:val="single" w:color="000000" w:themeColor="text1" w:sz="8" w:space="0"/>
              <w:right w:val="nil"/>
              <w:insideH w:val="single" w:sz="8" w:space="0"/>
              <w:insideV w:val="nil"/>
            </w:tcBorders>
          </w:tcPr>
          <w:p>
            <w:pPr>
              <w:spacing w:before="0" w:after="0"/>
              <w:jc w:val="both"/>
              <w:rPr>
                <w:rFonts w:eastAsiaTheme="majorEastAsia"/>
                <w:b/>
                <w:bCs w:val="0"/>
                <w:color w:val="auto"/>
                <w:szCs w:val="24"/>
              </w:rPr>
            </w:pPr>
            <w:r>
              <w:rPr>
                <w:rFonts w:eastAsiaTheme="majorEastAsia"/>
                <w:b w:val="0"/>
                <w:bCs/>
                <w:color w:val="auto"/>
                <w:szCs w:val="24"/>
              </w:rPr>
              <w:t xml:space="preserve">Methanol extract </w:t>
            </w:r>
          </w:p>
        </w:tc>
        <w:tc>
          <w:tcPr>
            <w:tcW w:w="2268" w:type="dxa"/>
            <w:tcBorders>
              <w:top w:val="single" w:color="auto" w:sz="4" w:space="0"/>
              <w:bottom w:val="single" w:color="000000" w:themeColor="text1" w:sz="8" w:space="0"/>
              <w:right w:val="single" w:color="auto" w:sz="4" w:space="0"/>
              <w:insideH w:val="single" w:sz="8" w:space="0"/>
              <w:insideV w:val="nil"/>
            </w:tcBorders>
          </w:tcPr>
          <w:p>
            <w:pPr>
              <w:spacing w:before="0" w:after="0"/>
              <w:jc w:val="both"/>
              <w:rPr>
                <w:rFonts w:eastAsiaTheme="majorEastAsia"/>
                <w:b/>
                <w:bCs w:val="0"/>
                <w:color w:val="auto"/>
                <w:szCs w:val="24"/>
              </w:rPr>
            </w:pPr>
            <w:r>
              <w:rPr>
                <w:rFonts w:eastAsiaTheme="majorEastAsia"/>
                <w:b w:val="0"/>
                <w:bCs/>
                <w:color w:val="auto"/>
                <w:szCs w:val="24"/>
              </w:rPr>
              <w:t>Chloroform extract</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1818" w:type="dxa"/>
            <w:tcBorders>
              <w:left w:val="single" w:color="auto" w:sz="4" w:space="0"/>
            </w:tcBorders>
          </w:tcPr>
          <w:p>
            <w:pPr>
              <w:spacing w:after="0"/>
              <w:jc w:val="both"/>
              <w:rPr>
                <w:b/>
                <w:bCs/>
                <w:color w:val="auto"/>
                <w:szCs w:val="24"/>
              </w:rPr>
            </w:pPr>
            <w:r>
              <w:rPr>
                <w:b w:val="0"/>
                <w:bCs/>
                <w:color w:val="auto"/>
                <w:szCs w:val="24"/>
              </w:rPr>
              <w:t xml:space="preserve">Alkaloids </w:t>
            </w:r>
          </w:p>
        </w:tc>
        <w:tc>
          <w:tcPr>
            <w:tcW w:w="3420" w:type="dxa"/>
          </w:tcPr>
          <w:p>
            <w:pPr>
              <w:spacing w:after="0"/>
              <w:jc w:val="both"/>
              <w:rPr>
                <w:color w:val="auto"/>
                <w:szCs w:val="24"/>
              </w:rPr>
            </w:pPr>
            <w:r>
              <w:rPr>
                <w:color w:val="auto"/>
                <w:szCs w:val="24"/>
              </w:rPr>
              <w:t xml:space="preserve">Wagners test </w:t>
            </w:r>
          </w:p>
        </w:tc>
        <w:tc>
          <w:tcPr>
            <w:tcW w:w="2070" w:type="dxa"/>
          </w:tcPr>
          <w:p>
            <w:pPr>
              <w:spacing w:after="0"/>
              <w:jc w:val="both"/>
              <w:rPr>
                <w:color w:val="auto"/>
                <w:szCs w:val="24"/>
              </w:rPr>
            </w:pPr>
            <w:r>
              <w:rPr>
                <w:color w:val="auto"/>
                <w:szCs w:val="24"/>
              </w:rPr>
              <w:t xml:space="preserve"> +</w:t>
            </w:r>
          </w:p>
        </w:tc>
        <w:tc>
          <w:tcPr>
            <w:tcW w:w="2268" w:type="dxa"/>
            <w:tcBorders>
              <w:right w:val="single" w:color="auto" w:sz="4" w:space="0"/>
            </w:tcBorders>
          </w:tcPr>
          <w:p>
            <w:pPr>
              <w:spacing w:after="0"/>
              <w:jc w:val="both"/>
              <w:rPr>
                <w:color w:val="auto"/>
                <w:szCs w:val="24"/>
              </w:rPr>
            </w:pPr>
            <w:r>
              <w:rPr>
                <w:color w:val="auto"/>
                <w:szCs w:val="24"/>
              </w:rPr>
              <w:t>-</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1818" w:type="dxa"/>
            <w:tcBorders>
              <w:left w:val="single" w:color="auto" w:sz="4" w:space="0"/>
            </w:tcBorders>
          </w:tcPr>
          <w:p>
            <w:pPr>
              <w:spacing w:after="0"/>
              <w:jc w:val="both"/>
              <w:rPr>
                <w:b/>
                <w:bCs/>
                <w:color w:val="auto"/>
                <w:szCs w:val="24"/>
              </w:rPr>
            </w:pPr>
            <w:r>
              <w:rPr>
                <w:b w:val="0"/>
                <w:bCs/>
                <w:color w:val="auto"/>
                <w:szCs w:val="24"/>
              </w:rPr>
              <w:t xml:space="preserve">Flavonoids </w:t>
            </w:r>
          </w:p>
        </w:tc>
        <w:tc>
          <w:tcPr>
            <w:tcW w:w="3420" w:type="dxa"/>
          </w:tcPr>
          <w:p>
            <w:pPr>
              <w:spacing w:after="0"/>
              <w:jc w:val="both"/>
              <w:rPr>
                <w:color w:val="auto"/>
                <w:szCs w:val="24"/>
              </w:rPr>
            </w:pPr>
            <w:r>
              <w:rPr>
                <w:color w:val="auto"/>
                <w:szCs w:val="24"/>
              </w:rPr>
              <w:t xml:space="preserve">Alkaline test </w:t>
            </w:r>
          </w:p>
        </w:tc>
        <w:tc>
          <w:tcPr>
            <w:tcW w:w="2070" w:type="dxa"/>
          </w:tcPr>
          <w:p>
            <w:pPr>
              <w:spacing w:after="0"/>
              <w:jc w:val="both"/>
              <w:rPr>
                <w:color w:val="auto"/>
                <w:szCs w:val="24"/>
              </w:rPr>
            </w:pPr>
            <w:r>
              <w:rPr>
                <w:color w:val="auto"/>
                <w:szCs w:val="24"/>
              </w:rPr>
              <w:t>+</w:t>
            </w:r>
          </w:p>
        </w:tc>
        <w:tc>
          <w:tcPr>
            <w:tcW w:w="2268" w:type="dxa"/>
            <w:tcBorders>
              <w:right w:val="single" w:color="auto" w:sz="4" w:space="0"/>
            </w:tcBorders>
          </w:tcPr>
          <w:p>
            <w:pPr>
              <w:spacing w:after="0"/>
              <w:jc w:val="both"/>
              <w:rPr>
                <w:color w:val="auto"/>
                <w:szCs w:val="24"/>
              </w:rPr>
            </w:pPr>
            <w:r>
              <w:rPr>
                <w:color w:val="auto"/>
                <w:szCs w:val="24"/>
              </w:rPr>
              <w:t>+</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1818" w:type="dxa"/>
            <w:tcBorders>
              <w:left w:val="single" w:color="auto" w:sz="4" w:space="0"/>
            </w:tcBorders>
          </w:tcPr>
          <w:p>
            <w:pPr>
              <w:spacing w:after="0"/>
              <w:jc w:val="both"/>
              <w:rPr>
                <w:b/>
                <w:bCs/>
                <w:color w:val="auto"/>
                <w:szCs w:val="24"/>
              </w:rPr>
            </w:pPr>
            <w:r>
              <w:rPr>
                <w:b w:val="0"/>
                <w:bCs/>
                <w:color w:val="auto"/>
                <w:szCs w:val="24"/>
              </w:rPr>
              <w:t xml:space="preserve">Glycosides  </w:t>
            </w:r>
          </w:p>
        </w:tc>
        <w:tc>
          <w:tcPr>
            <w:tcW w:w="3420" w:type="dxa"/>
          </w:tcPr>
          <w:p>
            <w:pPr>
              <w:spacing w:after="0"/>
              <w:jc w:val="both"/>
              <w:rPr>
                <w:color w:val="auto"/>
                <w:szCs w:val="24"/>
              </w:rPr>
            </w:pPr>
            <w:r>
              <w:rPr>
                <w:color w:val="auto"/>
                <w:szCs w:val="24"/>
              </w:rPr>
              <w:t xml:space="preserve">Legas test </w:t>
            </w:r>
          </w:p>
          <w:p>
            <w:pPr>
              <w:spacing w:after="0"/>
              <w:jc w:val="both"/>
              <w:rPr>
                <w:color w:val="auto"/>
                <w:szCs w:val="24"/>
              </w:rPr>
            </w:pPr>
            <w:r>
              <w:rPr>
                <w:color w:val="auto"/>
                <w:szCs w:val="24"/>
              </w:rPr>
              <w:t>Salkowski Test</w:t>
            </w:r>
          </w:p>
        </w:tc>
        <w:tc>
          <w:tcPr>
            <w:tcW w:w="2070" w:type="dxa"/>
          </w:tcPr>
          <w:p>
            <w:pPr>
              <w:spacing w:after="0"/>
              <w:jc w:val="both"/>
              <w:rPr>
                <w:color w:val="auto"/>
                <w:szCs w:val="24"/>
              </w:rPr>
            </w:pPr>
            <w:r>
              <w:rPr>
                <w:color w:val="auto"/>
                <w:szCs w:val="24"/>
              </w:rPr>
              <w:t>+</w:t>
            </w:r>
          </w:p>
          <w:p>
            <w:pPr>
              <w:spacing w:after="0"/>
              <w:jc w:val="both"/>
              <w:rPr>
                <w:color w:val="auto"/>
                <w:szCs w:val="24"/>
              </w:rPr>
            </w:pPr>
            <w:r>
              <w:rPr>
                <w:color w:val="auto"/>
                <w:szCs w:val="24"/>
              </w:rPr>
              <w:t>+</w:t>
            </w:r>
          </w:p>
        </w:tc>
        <w:tc>
          <w:tcPr>
            <w:tcW w:w="2268" w:type="dxa"/>
            <w:tcBorders>
              <w:right w:val="single" w:color="auto" w:sz="4" w:space="0"/>
            </w:tcBorders>
          </w:tcPr>
          <w:p>
            <w:pPr>
              <w:spacing w:after="0"/>
              <w:jc w:val="both"/>
              <w:rPr>
                <w:color w:val="auto"/>
                <w:szCs w:val="24"/>
              </w:rPr>
            </w:pPr>
            <w:r>
              <w:rPr>
                <w:color w:val="auto"/>
                <w:szCs w:val="24"/>
              </w:rPr>
              <w:t>+</w:t>
            </w:r>
          </w:p>
          <w:p>
            <w:pPr>
              <w:spacing w:after="0"/>
              <w:jc w:val="both"/>
              <w:rPr>
                <w:color w:val="auto"/>
                <w:szCs w:val="24"/>
              </w:rPr>
            </w:pPr>
            <w:r>
              <w:rPr>
                <w:color w:val="auto"/>
                <w:szCs w:val="24"/>
              </w:rPr>
              <w:t>+</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1818" w:type="dxa"/>
            <w:tcBorders>
              <w:left w:val="single" w:color="auto" w:sz="4" w:space="0"/>
            </w:tcBorders>
          </w:tcPr>
          <w:p>
            <w:pPr>
              <w:spacing w:after="0"/>
              <w:jc w:val="both"/>
              <w:rPr>
                <w:b/>
                <w:bCs/>
                <w:color w:val="auto"/>
                <w:szCs w:val="24"/>
              </w:rPr>
            </w:pPr>
            <w:r>
              <w:rPr>
                <w:b w:val="0"/>
                <w:bCs/>
                <w:color w:val="auto"/>
                <w:szCs w:val="24"/>
              </w:rPr>
              <w:t xml:space="preserve">Phenol </w:t>
            </w:r>
          </w:p>
        </w:tc>
        <w:tc>
          <w:tcPr>
            <w:tcW w:w="3420" w:type="dxa"/>
          </w:tcPr>
          <w:p>
            <w:pPr>
              <w:spacing w:after="0"/>
              <w:jc w:val="both"/>
              <w:rPr>
                <w:color w:val="auto"/>
                <w:szCs w:val="24"/>
              </w:rPr>
            </w:pPr>
            <w:r>
              <w:rPr>
                <w:color w:val="auto"/>
                <w:szCs w:val="24"/>
              </w:rPr>
              <w:t xml:space="preserve">Ferric chloride test </w:t>
            </w:r>
          </w:p>
        </w:tc>
        <w:tc>
          <w:tcPr>
            <w:tcW w:w="2070" w:type="dxa"/>
          </w:tcPr>
          <w:p>
            <w:pPr>
              <w:spacing w:after="0"/>
              <w:jc w:val="both"/>
              <w:rPr>
                <w:color w:val="auto"/>
                <w:szCs w:val="24"/>
              </w:rPr>
            </w:pPr>
            <w:r>
              <w:rPr>
                <w:color w:val="auto"/>
                <w:szCs w:val="24"/>
              </w:rPr>
              <w:t>+</w:t>
            </w:r>
          </w:p>
        </w:tc>
        <w:tc>
          <w:tcPr>
            <w:tcW w:w="2268" w:type="dxa"/>
            <w:tcBorders>
              <w:right w:val="single" w:color="auto" w:sz="4" w:space="0"/>
            </w:tcBorders>
          </w:tcPr>
          <w:p>
            <w:pPr>
              <w:spacing w:after="0"/>
              <w:jc w:val="both"/>
              <w:rPr>
                <w:color w:val="auto"/>
                <w:szCs w:val="24"/>
              </w:rPr>
            </w:pPr>
            <w:r>
              <w:rPr>
                <w:color w:val="auto"/>
                <w:szCs w:val="24"/>
              </w:rPr>
              <w:t>-</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1818" w:type="dxa"/>
            <w:tcBorders>
              <w:left w:val="single" w:color="auto" w:sz="4" w:space="0"/>
            </w:tcBorders>
          </w:tcPr>
          <w:p>
            <w:pPr>
              <w:spacing w:after="0"/>
              <w:jc w:val="both"/>
              <w:rPr>
                <w:b/>
                <w:bCs/>
                <w:color w:val="auto"/>
                <w:szCs w:val="24"/>
              </w:rPr>
            </w:pPr>
            <w:r>
              <w:rPr>
                <w:b w:val="0"/>
                <w:bCs/>
                <w:color w:val="auto"/>
                <w:szCs w:val="24"/>
              </w:rPr>
              <w:t xml:space="preserve">Tannins </w:t>
            </w:r>
          </w:p>
        </w:tc>
        <w:tc>
          <w:tcPr>
            <w:tcW w:w="3420" w:type="dxa"/>
          </w:tcPr>
          <w:p>
            <w:pPr>
              <w:spacing w:after="0"/>
              <w:jc w:val="both"/>
              <w:rPr>
                <w:color w:val="auto"/>
                <w:szCs w:val="24"/>
              </w:rPr>
            </w:pPr>
            <w:r>
              <w:rPr>
                <w:color w:val="auto"/>
                <w:szCs w:val="24"/>
              </w:rPr>
              <w:t xml:space="preserve">Gelatin test </w:t>
            </w:r>
          </w:p>
        </w:tc>
        <w:tc>
          <w:tcPr>
            <w:tcW w:w="2070" w:type="dxa"/>
          </w:tcPr>
          <w:p>
            <w:pPr>
              <w:spacing w:after="0"/>
              <w:jc w:val="both"/>
              <w:rPr>
                <w:color w:val="auto"/>
                <w:szCs w:val="24"/>
              </w:rPr>
            </w:pPr>
            <w:r>
              <w:rPr>
                <w:color w:val="auto"/>
                <w:szCs w:val="24"/>
              </w:rPr>
              <w:t>+</w:t>
            </w:r>
          </w:p>
        </w:tc>
        <w:tc>
          <w:tcPr>
            <w:tcW w:w="2268" w:type="dxa"/>
            <w:tcBorders>
              <w:right w:val="single" w:color="auto" w:sz="4" w:space="0"/>
            </w:tcBorders>
          </w:tcPr>
          <w:p>
            <w:pPr>
              <w:spacing w:after="0"/>
              <w:jc w:val="both"/>
              <w:rPr>
                <w:color w:val="auto"/>
                <w:szCs w:val="24"/>
              </w:rPr>
            </w:pPr>
            <w:r>
              <w:rPr>
                <w:color w:val="auto"/>
                <w:szCs w:val="24"/>
              </w:rPr>
              <w:t>-</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1818" w:type="dxa"/>
            <w:tcBorders>
              <w:left w:val="single" w:color="auto" w:sz="4" w:space="0"/>
            </w:tcBorders>
          </w:tcPr>
          <w:p>
            <w:pPr>
              <w:spacing w:after="0"/>
              <w:jc w:val="both"/>
              <w:rPr>
                <w:b/>
                <w:bCs/>
                <w:color w:val="auto"/>
                <w:szCs w:val="24"/>
              </w:rPr>
            </w:pPr>
            <w:r>
              <w:rPr>
                <w:b w:val="0"/>
                <w:bCs/>
                <w:color w:val="auto"/>
                <w:szCs w:val="24"/>
              </w:rPr>
              <w:t xml:space="preserve">Steroids </w:t>
            </w:r>
          </w:p>
        </w:tc>
        <w:tc>
          <w:tcPr>
            <w:tcW w:w="3420" w:type="dxa"/>
          </w:tcPr>
          <w:p>
            <w:pPr>
              <w:spacing w:after="0"/>
              <w:jc w:val="both"/>
              <w:rPr>
                <w:color w:val="auto"/>
                <w:szCs w:val="24"/>
              </w:rPr>
            </w:pPr>
            <w:r>
              <w:rPr>
                <w:color w:val="auto"/>
                <w:szCs w:val="24"/>
              </w:rPr>
              <w:t xml:space="preserve">Liebermann burchard test </w:t>
            </w:r>
          </w:p>
          <w:p>
            <w:pPr>
              <w:spacing w:after="0"/>
              <w:jc w:val="both"/>
              <w:rPr>
                <w:color w:val="auto"/>
                <w:szCs w:val="24"/>
              </w:rPr>
            </w:pPr>
            <w:r>
              <w:rPr>
                <w:color w:val="auto"/>
                <w:szCs w:val="24"/>
              </w:rPr>
              <w:t>Salkowski Test</w:t>
            </w:r>
          </w:p>
        </w:tc>
        <w:tc>
          <w:tcPr>
            <w:tcW w:w="2070" w:type="dxa"/>
          </w:tcPr>
          <w:p>
            <w:pPr>
              <w:spacing w:after="0"/>
              <w:jc w:val="both"/>
              <w:rPr>
                <w:color w:val="auto"/>
                <w:szCs w:val="24"/>
              </w:rPr>
            </w:pPr>
            <w:r>
              <w:rPr>
                <w:color w:val="auto"/>
                <w:szCs w:val="24"/>
              </w:rPr>
              <w:t>+</w:t>
            </w:r>
          </w:p>
          <w:p>
            <w:pPr>
              <w:spacing w:after="0"/>
              <w:jc w:val="both"/>
              <w:rPr>
                <w:color w:val="auto"/>
                <w:szCs w:val="24"/>
              </w:rPr>
            </w:pPr>
            <w:r>
              <w:rPr>
                <w:color w:val="auto"/>
                <w:szCs w:val="24"/>
              </w:rPr>
              <w:t>+</w:t>
            </w:r>
          </w:p>
        </w:tc>
        <w:tc>
          <w:tcPr>
            <w:tcW w:w="2268" w:type="dxa"/>
            <w:tcBorders>
              <w:right w:val="single" w:color="auto" w:sz="4" w:space="0"/>
            </w:tcBorders>
          </w:tcPr>
          <w:p>
            <w:pPr>
              <w:spacing w:after="0"/>
              <w:jc w:val="both"/>
              <w:rPr>
                <w:color w:val="auto"/>
                <w:szCs w:val="24"/>
              </w:rPr>
            </w:pPr>
            <w:r>
              <w:rPr>
                <w:color w:val="auto"/>
                <w:szCs w:val="24"/>
              </w:rPr>
              <w:t>+</w:t>
            </w:r>
          </w:p>
          <w:p>
            <w:pPr>
              <w:spacing w:after="0"/>
              <w:jc w:val="both"/>
              <w:rPr>
                <w:color w:val="auto"/>
                <w:szCs w:val="24"/>
              </w:rPr>
            </w:pPr>
            <w:r>
              <w:rPr>
                <w:color w:val="auto"/>
                <w:szCs w:val="24"/>
              </w:rPr>
              <w:t>+</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1818" w:type="dxa"/>
            <w:tcBorders>
              <w:left w:val="single" w:color="auto" w:sz="4" w:space="0"/>
              <w:bottom w:val="single" w:color="auto" w:sz="4" w:space="0"/>
            </w:tcBorders>
          </w:tcPr>
          <w:p>
            <w:pPr>
              <w:spacing w:after="0"/>
              <w:jc w:val="both"/>
              <w:rPr>
                <w:b/>
                <w:bCs/>
                <w:color w:val="auto"/>
                <w:szCs w:val="24"/>
              </w:rPr>
            </w:pPr>
            <w:r>
              <w:rPr>
                <w:b w:val="0"/>
                <w:bCs/>
                <w:color w:val="auto"/>
                <w:szCs w:val="24"/>
              </w:rPr>
              <w:t>Saponin</w:t>
            </w:r>
          </w:p>
        </w:tc>
        <w:tc>
          <w:tcPr>
            <w:tcW w:w="3420" w:type="dxa"/>
            <w:tcBorders>
              <w:bottom w:val="single" w:color="auto" w:sz="4" w:space="0"/>
            </w:tcBorders>
          </w:tcPr>
          <w:p>
            <w:pPr>
              <w:spacing w:after="0"/>
              <w:jc w:val="both"/>
              <w:rPr>
                <w:color w:val="auto"/>
                <w:szCs w:val="24"/>
              </w:rPr>
            </w:pPr>
            <w:r>
              <w:rPr>
                <w:color w:val="auto"/>
                <w:szCs w:val="24"/>
              </w:rPr>
              <w:t xml:space="preserve">Foam test </w:t>
            </w:r>
          </w:p>
        </w:tc>
        <w:tc>
          <w:tcPr>
            <w:tcW w:w="2070" w:type="dxa"/>
            <w:tcBorders>
              <w:bottom w:val="single" w:color="auto" w:sz="4" w:space="0"/>
            </w:tcBorders>
          </w:tcPr>
          <w:p>
            <w:pPr>
              <w:spacing w:after="0"/>
              <w:jc w:val="both"/>
              <w:rPr>
                <w:color w:val="auto"/>
                <w:szCs w:val="24"/>
              </w:rPr>
            </w:pPr>
            <w:r>
              <w:rPr>
                <w:color w:val="auto"/>
                <w:szCs w:val="24"/>
              </w:rPr>
              <w:t>+</w:t>
            </w:r>
          </w:p>
        </w:tc>
        <w:tc>
          <w:tcPr>
            <w:tcW w:w="2268" w:type="dxa"/>
            <w:tcBorders>
              <w:bottom w:val="single" w:color="auto" w:sz="4" w:space="0"/>
              <w:right w:val="single" w:color="auto" w:sz="4" w:space="0"/>
            </w:tcBorders>
          </w:tcPr>
          <w:p>
            <w:pPr>
              <w:spacing w:after="0"/>
              <w:jc w:val="both"/>
              <w:rPr>
                <w:color w:val="auto"/>
                <w:szCs w:val="24"/>
              </w:rPr>
            </w:pPr>
            <w:r>
              <w:rPr>
                <w:color w:val="auto"/>
                <w:szCs w:val="24"/>
              </w:rPr>
              <w:t>+</w:t>
            </w:r>
          </w:p>
        </w:tc>
      </w:tr>
    </w:tbl>
    <w:p>
      <w:pPr>
        <w:jc w:val="both"/>
        <w:rPr>
          <w:szCs w:val="24"/>
        </w:rPr>
      </w:pPr>
      <w:r>
        <w:rPr>
          <w:b/>
          <w:bCs/>
          <w:szCs w:val="24"/>
        </w:rPr>
        <w:t xml:space="preserve">Key: </w:t>
      </w:r>
      <w:r>
        <w:rPr>
          <w:szCs w:val="24"/>
        </w:rPr>
        <w:t xml:space="preserve">+:  present; - : absent </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pStyle w:val="3"/>
        <w:jc w:val="both"/>
        <w:rPr>
          <w:rFonts w:ascii="Times New Roman" w:hAnsi="Times New Roman"/>
          <w:color w:val="auto"/>
          <w:sz w:val="24"/>
          <w:szCs w:val="24"/>
        </w:rPr>
      </w:pPr>
    </w:p>
    <w:p>
      <w:pPr>
        <w:pStyle w:val="3"/>
        <w:jc w:val="both"/>
        <w:rPr>
          <w:rFonts w:ascii="Times New Roman" w:hAnsi="Times New Roman"/>
          <w:color w:val="auto"/>
          <w:sz w:val="24"/>
          <w:szCs w:val="24"/>
        </w:rPr>
      </w:pPr>
      <w:bookmarkStart w:id="67" w:name="_Toc11282"/>
      <w:r>
        <w:rPr>
          <w:rFonts w:ascii="Times New Roman" w:hAnsi="Times New Roman"/>
          <w:color w:val="auto"/>
          <w:sz w:val="24"/>
          <w:szCs w:val="24"/>
        </w:rPr>
        <w:t>4.2 Antibacterial assay</w:t>
      </w:r>
      <w:bookmarkEnd w:id="67"/>
    </w:p>
    <w:p>
      <w:pPr>
        <w:pStyle w:val="6"/>
        <w:jc w:val="both"/>
        <w:rPr>
          <w:rFonts w:ascii="Times New Roman" w:hAnsi="Times New Roman" w:cs="Times New Roman"/>
          <w:sz w:val="24"/>
          <w:szCs w:val="24"/>
        </w:rPr>
      </w:pPr>
      <w:r>
        <w:rPr>
          <w:rFonts w:ascii="Times New Roman" w:hAnsi="Times New Roman" w:cs="Times New Roman"/>
          <w:b/>
          <w:bCs/>
          <w:sz w:val="24"/>
          <w:szCs w:val="24"/>
        </w:rPr>
        <w:t>Table</w:t>
      </w: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SEQ Table \* ARABIC </w:instrText>
      </w:r>
      <w:r>
        <w:rPr>
          <w:rFonts w:ascii="Times New Roman" w:hAnsi="Times New Roman" w:cs="Times New Roman"/>
          <w:b/>
          <w:bCs/>
          <w:sz w:val="24"/>
          <w:szCs w:val="24"/>
        </w:rPr>
        <w:fldChar w:fldCharType="separate"/>
      </w:r>
      <w:r>
        <w:rPr>
          <w:rFonts w:ascii="Times New Roman" w:hAnsi="Times New Roman" w:cs="Times New Roman"/>
          <w:b/>
          <w:bCs/>
          <w:sz w:val="24"/>
          <w:szCs w:val="24"/>
        </w:rPr>
        <w:t>2</w:t>
      </w:r>
      <w:r>
        <w:rPr>
          <w:rFonts w:ascii="Times New Roman" w:hAnsi="Times New Roman" w:cs="Times New Roman"/>
          <w:b/>
          <w:bCs/>
          <w:sz w:val="24"/>
          <w:szCs w:val="24"/>
        </w:rPr>
        <w:fldChar w:fldCharType="end"/>
      </w:r>
      <w:bookmarkStart w:id="68" w:name="_Toc20504"/>
      <w:r>
        <w:rPr>
          <w:rFonts w:ascii="Times New Roman" w:hAnsi="Times New Roman" w:cs="Times New Roman"/>
          <w:sz w:val="24"/>
          <w:szCs w:val="24"/>
        </w:rPr>
        <w:t xml:space="preserve">: Inhibition zone of the four pathogens (in mm) in the root extracts of </w:t>
      </w:r>
      <w:r>
        <w:rPr>
          <w:rFonts w:ascii="Times New Roman" w:hAnsi="Times New Roman" w:cs="Times New Roman"/>
          <w:i/>
          <w:iCs/>
          <w:sz w:val="24"/>
          <w:szCs w:val="24"/>
        </w:rPr>
        <w:t>V</w:t>
      </w:r>
      <w:r>
        <w:rPr>
          <w:rFonts w:ascii="Times New Roman" w:hAnsi="Times New Roman" w:cs="Times New Roman"/>
          <w:sz w:val="24"/>
          <w:szCs w:val="24"/>
        </w:rPr>
        <w:t>.sinaiticum</w:t>
      </w:r>
      <w:bookmarkEnd w:id="68"/>
    </w:p>
    <w:tbl>
      <w:tblPr>
        <w:tblStyle w:val="16"/>
        <w:tblW w:w="9940"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638"/>
        <w:gridCol w:w="630"/>
        <w:gridCol w:w="630"/>
        <w:gridCol w:w="476"/>
        <w:gridCol w:w="179"/>
        <w:gridCol w:w="671"/>
        <w:gridCol w:w="671"/>
        <w:gridCol w:w="493"/>
        <w:gridCol w:w="179"/>
        <w:gridCol w:w="756"/>
        <w:gridCol w:w="839"/>
        <w:gridCol w:w="660"/>
        <w:gridCol w:w="179"/>
        <w:gridCol w:w="671"/>
        <w:gridCol w:w="672"/>
        <w:gridCol w:w="574"/>
        <w:gridCol w:w="22"/>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649" w:hRule="atLeast"/>
        </w:trPr>
        <w:tc>
          <w:tcPr>
            <w:tcW w:w="1638" w:type="dxa"/>
          </w:tcPr>
          <w:p>
            <w:pPr>
              <w:spacing w:after="0"/>
              <w:jc w:val="both"/>
              <w:rPr>
                <w:b/>
                <w:szCs w:val="24"/>
              </w:rPr>
            </w:pPr>
            <w:r>
              <w:rPr>
                <w:bCs/>
                <w:szCs w:val="24"/>
              </w:rPr>
              <w:t>Concentration</w:t>
            </w:r>
          </w:p>
        </w:tc>
        <w:tc>
          <w:tcPr>
            <w:tcW w:w="3750" w:type="dxa"/>
            <w:gridSpan w:val="7"/>
          </w:tcPr>
          <w:p>
            <w:pPr>
              <w:spacing w:after="0"/>
              <w:jc w:val="both"/>
              <w:rPr>
                <w:b/>
                <w:szCs w:val="24"/>
              </w:rPr>
            </w:pPr>
            <w:r>
              <w:rPr>
                <w:bCs/>
                <w:szCs w:val="24"/>
              </w:rPr>
              <w:t>Gram negative</w:t>
            </w:r>
          </w:p>
        </w:tc>
        <w:tc>
          <w:tcPr>
            <w:tcW w:w="4552" w:type="dxa"/>
            <w:gridSpan w:val="9"/>
          </w:tcPr>
          <w:p>
            <w:pPr>
              <w:spacing w:after="0"/>
              <w:jc w:val="both"/>
              <w:rPr>
                <w:b/>
                <w:szCs w:val="24"/>
              </w:rPr>
            </w:pPr>
            <w:r>
              <w:rPr>
                <w:bCs/>
                <w:szCs w:val="24"/>
              </w:rPr>
              <w:t>Gram positive</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458" w:hRule="atLeast"/>
        </w:trPr>
        <w:tc>
          <w:tcPr>
            <w:tcW w:w="1638" w:type="dxa"/>
          </w:tcPr>
          <w:p>
            <w:pPr>
              <w:spacing w:after="0"/>
              <w:jc w:val="both"/>
              <w:rPr>
                <w:b/>
                <w:szCs w:val="24"/>
              </w:rPr>
            </w:pPr>
          </w:p>
        </w:tc>
        <w:tc>
          <w:tcPr>
            <w:tcW w:w="1736" w:type="dxa"/>
            <w:gridSpan w:val="3"/>
          </w:tcPr>
          <w:p>
            <w:pPr>
              <w:spacing w:after="0"/>
              <w:jc w:val="both"/>
              <w:rPr>
                <w:i/>
                <w:iCs/>
                <w:szCs w:val="24"/>
              </w:rPr>
            </w:pPr>
            <w:r>
              <w:rPr>
                <w:i/>
                <w:iCs/>
                <w:szCs w:val="24"/>
              </w:rPr>
              <w:t>E. coli</w:t>
            </w:r>
          </w:p>
        </w:tc>
        <w:tc>
          <w:tcPr>
            <w:tcW w:w="2014" w:type="dxa"/>
            <w:gridSpan w:val="4"/>
          </w:tcPr>
          <w:p>
            <w:pPr>
              <w:spacing w:after="0"/>
              <w:jc w:val="both"/>
              <w:rPr>
                <w:i/>
                <w:iCs/>
                <w:szCs w:val="24"/>
              </w:rPr>
            </w:pPr>
            <w:r>
              <w:rPr>
                <w:i/>
                <w:iCs/>
                <w:szCs w:val="24"/>
              </w:rPr>
              <w:t>K. pneumonia</w:t>
            </w:r>
          </w:p>
        </w:tc>
        <w:tc>
          <w:tcPr>
            <w:tcW w:w="2434" w:type="dxa"/>
            <w:gridSpan w:val="4"/>
          </w:tcPr>
          <w:p>
            <w:pPr>
              <w:spacing w:after="0"/>
              <w:jc w:val="both"/>
              <w:rPr>
                <w:i/>
                <w:iCs/>
                <w:szCs w:val="24"/>
              </w:rPr>
            </w:pPr>
            <w:r>
              <w:rPr>
                <w:i/>
                <w:iCs/>
                <w:szCs w:val="24"/>
              </w:rPr>
              <w:t>S. aurues</w:t>
            </w:r>
          </w:p>
        </w:tc>
        <w:tc>
          <w:tcPr>
            <w:tcW w:w="2118" w:type="dxa"/>
            <w:gridSpan w:val="5"/>
          </w:tcPr>
          <w:p>
            <w:pPr>
              <w:spacing w:after="0"/>
              <w:jc w:val="both"/>
              <w:rPr>
                <w:i/>
                <w:iCs/>
                <w:szCs w:val="24"/>
              </w:rPr>
            </w:pPr>
            <w:r>
              <w:rPr>
                <w:i/>
                <w:iCs/>
                <w:szCs w:val="24"/>
              </w:rPr>
              <w:t>S. pyogenes</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gridAfter w:val="1"/>
          <w:wAfter w:w="22" w:type="dxa"/>
          <w:trHeight w:val="458" w:hRule="atLeast"/>
        </w:trPr>
        <w:tc>
          <w:tcPr>
            <w:tcW w:w="1638" w:type="dxa"/>
          </w:tcPr>
          <w:p>
            <w:pPr>
              <w:spacing w:after="0"/>
              <w:jc w:val="both"/>
              <w:rPr>
                <w:b/>
                <w:szCs w:val="24"/>
              </w:rPr>
            </w:pPr>
            <w:r>
              <w:rPr>
                <w:bCs/>
                <w:szCs w:val="24"/>
              </w:rPr>
              <w:t>CHCl</w:t>
            </w:r>
            <w:r>
              <w:rPr>
                <w:bCs/>
                <w:szCs w:val="24"/>
                <w:vertAlign w:val="subscript"/>
              </w:rPr>
              <w:t>3</w:t>
            </w:r>
            <w:r>
              <w:rPr>
                <w:bCs/>
                <w:szCs w:val="24"/>
              </w:rPr>
              <w:t xml:space="preserve"> C1</w:t>
            </w:r>
          </w:p>
        </w:tc>
        <w:tc>
          <w:tcPr>
            <w:tcW w:w="630" w:type="dxa"/>
          </w:tcPr>
          <w:p>
            <w:pPr>
              <w:spacing w:after="0"/>
              <w:jc w:val="both"/>
              <w:rPr>
                <w:szCs w:val="24"/>
              </w:rPr>
            </w:pPr>
            <w:r>
              <w:rPr>
                <w:szCs w:val="24"/>
              </w:rPr>
              <w:t>5</w:t>
            </w:r>
          </w:p>
        </w:tc>
        <w:tc>
          <w:tcPr>
            <w:tcW w:w="630" w:type="dxa"/>
          </w:tcPr>
          <w:p>
            <w:pPr>
              <w:spacing w:after="0"/>
              <w:jc w:val="both"/>
              <w:rPr>
                <w:szCs w:val="24"/>
              </w:rPr>
            </w:pPr>
            <w:r>
              <w:rPr>
                <w:szCs w:val="24"/>
              </w:rPr>
              <w:t>8</w:t>
            </w:r>
          </w:p>
        </w:tc>
        <w:tc>
          <w:tcPr>
            <w:tcW w:w="655" w:type="dxa"/>
            <w:gridSpan w:val="2"/>
          </w:tcPr>
          <w:p>
            <w:pPr>
              <w:spacing w:after="0"/>
              <w:jc w:val="both"/>
              <w:rPr>
                <w:szCs w:val="24"/>
              </w:rPr>
            </w:pPr>
            <w:r>
              <w:rPr>
                <w:szCs w:val="24"/>
              </w:rPr>
              <w:t>11</w:t>
            </w:r>
          </w:p>
        </w:tc>
        <w:tc>
          <w:tcPr>
            <w:tcW w:w="671" w:type="dxa"/>
          </w:tcPr>
          <w:p>
            <w:pPr>
              <w:spacing w:after="0"/>
              <w:jc w:val="both"/>
              <w:rPr>
                <w:szCs w:val="24"/>
              </w:rPr>
            </w:pPr>
            <w:r>
              <w:rPr>
                <w:szCs w:val="24"/>
              </w:rPr>
              <w:t>4</w:t>
            </w:r>
          </w:p>
        </w:tc>
        <w:tc>
          <w:tcPr>
            <w:tcW w:w="671" w:type="dxa"/>
          </w:tcPr>
          <w:p>
            <w:pPr>
              <w:spacing w:after="0"/>
              <w:jc w:val="both"/>
              <w:rPr>
                <w:szCs w:val="24"/>
              </w:rPr>
            </w:pPr>
            <w:r>
              <w:rPr>
                <w:szCs w:val="24"/>
              </w:rPr>
              <w:t>-</w:t>
            </w:r>
          </w:p>
        </w:tc>
        <w:tc>
          <w:tcPr>
            <w:tcW w:w="672" w:type="dxa"/>
            <w:gridSpan w:val="2"/>
          </w:tcPr>
          <w:p>
            <w:pPr>
              <w:spacing w:after="0"/>
              <w:jc w:val="both"/>
              <w:rPr>
                <w:szCs w:val="24"/>
              </w:rPr>
            </w:pPr>
            <w:r>
              <w:rPr>
                <w:szCs w:val="24"/>
              </w:rPr>
              <w:t>7</w:t>
            </w:r>
          </w:p>
        </w:tc>
        <w:tc>
          <w:tcPr>
            <w:tcW w:w="756" w:type="dxa"/>
          </w:tcPr>
          <w:p>
            <w:pPr>
              <w:spacing w:after="0"/>
              <w:jc w:val="both"/>
              <w:rPr>
                <w:szCs w:val="24"/>
              </w:rPr>
            </w:pPr>
            <w:r>
              <w:rPr>
                <w:szCs w:val="24"/>
              </w:rPr>
              <w:t>9</w:t>
            </w:r>
          </w:p>
        </w:tc>
        <w:tc>
          <w:tcPr>
            <w:tcW w:w="839" w:type="dxa"/>
          </w:tcPr>
          <w:p>
            <w:pPr>
              <w:spacing w:after="0"/>
              <w:jc w:val="both"/>
              <w:rPr>
                <w:szCs w:val="24"/>
              </w:rPr>
            </w:pPr>
            <w:r>
              <w:rPr>
                <w:szCs w:val="24"/>
              </w:rPr>
              <w:t>6</w:t>
            </w:r>
          </w:p>
        </w:tc>
        <w:tc>
          <w:tcPr>
            <w:tcW w:w="839" w:type="dxa"/>
            <w:gridSpan w:val="2"/>
          </w:tcPr>
          <w:p>
            <w:pPr>
              <w:spacing w:after="0"/>
              <w:jc w:val="both"/>
              <w:rPr>
                <w:szCs w:val="24"/>
              </w:rPr>
            </w:pPr>
            <w:r>
              <w:rPr>
                <w:szCs w:val="24"/>
              </w:rPr>
              <w:t>13</w:t>
            </w:r>
          </w:p>
        </w:tc>
        <w:tc>
          <w:tcPr>
            <w:tcW w:w="671" w:type="dxa"/>
          </w:tcPr>
          <w:p>
            <w:pPr>
              <w:spacing w:after="0"/>
              <w:jc w:val="both"/>
              <w:rPr>
                <w:szCs w:val="24"/>
              </w:rPr>
            </w:pPr>
            <w:r>
              <w:rPr>
                <w:szCs w:val="24"/>
              </w:rPr>
              <w:t>7</w:t>
            </w:r>
          </w:p>
        </w:tc>
        <w:tc>
          <w:tcPr>
            <w:tcW w:w="672" w:type="dxa"/>
          </w:tcPr>
          <w:p>
            <w:pPr>
              <w:spacing w:after="0"/>
              <w:jc w:val="both"/>
              <w:rPr>
                <w:szCs w:val="24"/>
              </w:rPr>
            </w:pPr>
            <w:r>
              <w:rPr>
                <w:szCs w:val="24"/>
              </w:rPr>
              <w:t>4</w:t>
            </w:r>
          </w:p>
        </w:tc>
        <w:tc>
          <w:tcPr>
            <w:tcW w:w="574" w:type="dxa"/>
          </w:tcPr>
          <w:p>
            <w:pPr>
              <w:spacing w:after="0"/>
              <w:jc w:val="both"/>
              <w:rPr>
                <w:szCs w:val="24"/>
              </w:rPr>
            </w:pPr>
            <w:r>
              <w:rPr>
                <w:szCs w:val="24"/>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gridAfter w:val="1"/>
          <w:wAfter w:w="22" w:type="dxa"/>
          <w:trHeight w:val="377" w:hRule="atLeast"/>
        </w:trPr>
        <w:tc>
          <w:tcPr>
            <w:tcW w:w="1638" w:type="dxa"/>
          </w:tcPr>
          <w:p>
            <w:pPr>
              <w:spacing w:after="0"/>
              <w:jc w:val="both"/>
              <w:rPr>
                <w:b/>
                <w:szCs w:val="24"/>
              </w:rPr>
            </w:pPr>
            <w:r>
              <w:rPr>
                <w:bCs/>
                <w:szCs w:val="24"/>
              </w:rPr>
              <w:t>CHCl</w:t>
            </w:r>
            <w:r>
              <w:rPr>
                <w:bCs/>
                <w:szCs w:val="24"/>
                <w:vertAlign w:val="subscript"/>
              </w:rPr>
              <w:t>3</w:t>
            </w:r>
            <w:r>
              <w:rPr>
                <w:bCs/>
                <w:szCs w:val="24"/>
              </w:rPr>
              <w:t xml:space="preserve"> C2</w:t>
            </w:r>
          </w:p>
        </w:tc>
        <w:tc>
          <w:tcPr>
            <w:tcW w:w="630" w:type="dxa"/>
          </w:tcPr>
          <w:p>
            <w:pPr>
              <w:spacing w:after="0"/>
              <w:jc w:val="both"/>
              <w:rPr>
                <w:szCs w:val="24"/>
              </w:rPr>
            </w:pPr>
            <w:r>
              <w:rPr>
                <w:szCs w:val="24"/>
              </w:rPr>
              <w:t>-</w:t>
            </w:r>
          </w:p>
        </w:tc>
        <w:tc>
          <w:tcPr>
            <w:tcW w:w="630" w:type="dxa"/>
          </w:tcPr>
          <w:p>
            <w:pPr>
              <w:spacing w:after="0"/>
              <w:jc w:val="both"/>
              <w:rPr>
                <w:szCs w:val="24"/>
              </w:rPr>
            </w:pPr>
            <w:r>
              <w:rPr>
                <w:szCs w:val="24"/>
              </w:rPr>
              <w:t>4</w:t>
            </w:r>
          </w:p>
        </w:tc>
        <w:tc>
          <w:tcPr>
            <w:tcW w:w="655" w:type="dxa"/>
            <w:gridSpan w:val="2"/>
          </w:tcPr>
          <w:p>
            <w:pPr>
              <w:spacing w:after="0"/>
              <w:jc w:val="both"/>
              <w:rPr>
                <w:szCs w:val="24"/>
              </w:rPr>
            </w:pPr>
            <w:r>
              <w:rPr>
                <w:szCs w:val="24"/>
              </w:rPr>
              <w:t>8</w:t>
            </w:r>
          </w:p>
        </w:tc>
        <w:tc>
          <w:tcPr>
            <w:tcW w:w="671" w:type="dxa"/>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gridSpan w:val="2"/>
          </w:tcPr>
          <w:p>
            <w:pPr>
              <w:spacing w:after="0"/>
              <w:jc w:val="both"/>
              <w:rPr>
                <w:szCs w:val="24"/>
              </w:rPr>
            </w:pPr>
            <w:r>
              <w:rPr>
                <w:szCs w:val="24"/>
              </w:rPr>
              <w:t>3</w:t>
            </w:r>
          </w:p>
        </w:tc>
        <w:tc>
          <w:tcPr>
            <w:tcW w:w="756" w:type="dxa"/>
          </w:tcPr>
          <w:p>
            <w:pPr>
              <w:spacing w:after="0"/>
              <w:jc w:val="both"/>
              <w:rPr>
                <w:szCs w:val="24"/>
              </w:rPr>
            </w:pPr>
            <w:r>
              <w:rPr>
                <w:szCs w:val="24"/>
              </w:rPr>
              <w:t>4</w:t>
            </w:r>
          </w:p>
        </w:tc>
        <w:tc>
          <w:tcPr>
            <w:tcW w:w="839" w:type="dxa"/>
          </w:tcPr>
          <w:p>
            <w:pPr>
              <w:spacing w:after="0"/>
              <w:jc w:val="both"/>
              <w:rPr>
                <w:szCs w:val="24"/>
              </w:rPr>
            </w:pPr>
            <w:r>
              <w:rPr>
                <w:szCs w:val="24"/>
              </w:rPr>
              <w:t>3</w:t>
            </w:r>
          </w:p>
        </w:tc>
        <w:tc>
          <w:tcPr>
            <w:tcW w:w="839" w:type="dxa"/>
            <w:gridSpan w:val="2"/>
          </w:tcPr>
          <w:p>
            <w:pPr>
              <w:spacing w:after="0"/>
              <w:jc w:val="both"/>
              <w:rPr>
                <w:szCs w:val="24"/>
              </w:rPr>
            </w:pPr>
            <w:r>
              <w:rPr>
                <w:szCs w:val="24"/>
              </w:rPr>
              <w:t>9</w:t>
            </w:r>
          </w:p>
        </w:tc>
        <w:tc>
          <w:tcPr>
            <w:tcW w:w="671" w:type="dxa"/>
          </w:tcPr>
          <w:p>
            <w:pPr>
              <w:spacing w:after="0"/>
              <w:jc w:val="both"/>
              <w:rPr>
                <w:szCs w:val="24"/>
              </w:rPr>
            </w:pPr>
            <w:r>
              <w:rPr>
                <w:szCs w:val="24"/>
              </w:rPr>
              <w:t>-</w:t>
            </w:r>
          </w:p>
        </w:tc>
        <w:tc>
          <w:tcPr>
            <w:tcW w:w="672" w:type="dxa"/>
          </w:tcPr>
          <w:p>
            <w:pPr>
              <w:spacing w:after="0"/>
              <w:jc w:val="both"/>
              <w:rPr>
                <w:szCs w:val="24"/>
              </w:rPr>
            </w:pPr>
            <w:r>
              <w:rPr>
                <w:szCs w:val="24"/>
              </w:rPr>
              <w:t>-</w:t>
            </w:r>
          </w:p>
        </w:tc>
        <w:tc>
          <w:tcPr>
            <w:tcW w:w="574" w:type="dxa"/>
          </w:tcPr>
          <w:p>
            <w:pPr>
              <w:spacing w:after="0"/>
              <w:jc w:val="both"/>
              <w:rPr>
                <w:szCs w:val="24"/>
              </w:rPr>
            </w:pPr>
            <w:r>
              <w:rPr>
                <w:szCs w:val="24"/>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gridAfter w:val="1"/>
          <w:wAfter w:w="22" w:type="dxa"/>
          <w:trHeight w:val="476" w:hRule="atLeast"/>
        </w:trPr>
        <w:tc>
          <w:tcPr>
            <w:tcW w:w="1638" w:type="dxa"/>
          </w:tcPr>
          <w:p>
            <w:pPr>
              <w:spacing w:after="0"/>
              <w:jc w:val="both"/>
              <w:rPr>
                <w:b/>
                <w:szCs w:val="24"/>
              </w:rPr>
            </w:pPr>
            <w:r>
              <w:rPr>
                <w:bCs/>
                <w:szCs w:val="24"/>
              </w:rPr>
              <w:t>CHCl</w:t>
            </w:r>
            <w:r>
              <w:rPr>
                <w:bCs/>
                <w:szCs w:val="24"/>
                <w:vertAlign w:val="subscript"/>
              </w:rPr>
              <w:t>3</w:t>
            </w:r>
            <w:r>
              <w:rPr>
                <w:bCs/>
                <w:szCs w:val="24"/>
              </w:rPr>
              <w:t xml:space="preserve"> C3</w:t>
            </w:r>
          </w:p>
        </w:tc>
        <w:tc>
          <w:tcPr>
            <w:tcW w:w="630" w:type="dxa"/>
          </w:tcPr>
          <w:p>
            <w:pPr>
              <w:spacing w:after="0"/>
              <w:jc w:val="both"/>
              <w:rPr>
                <w:szCs w:val="24"/>
              </w:rPr>
            </w:pPr>
            <w:r>
              <w:rPr>
                <w:szCs w:val="24"/>
              </w:rPr>
              <w:t>-</w:t>
            </w:r>
          </w:p>
        </w:tc>
        <w:tc>
          <w:tcPr>
            <w:tcW w:w="630" w:type="dxa"/>
          </w:tcPr>
          <w:p>
            <w:pPr>
              <w:spacing w:after="0"/>
              <w:jc w:val="both"/>
              <w:rPr>
                <w:szCs w:val="24"/>
              </w:rPr>
            </w:pPr>
            <w:r>
              <w:rPr>
                <w:szCs w:val="24"/>
              </w:rPr>
              <w:t>-</w:t>
            </w:r>
          </w:p>
        </w:tc>
        <w:tc>
          <w:tcPr>
            <w:tcW w:w="655"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gridSpan w:val="2"/>
          </w:tcPr>
          <w:p>
            <w:pPr>
              <w:spacing w:after="0"/>
              <w:jc w:val="both"/>
              <w:rPr>
                <w:szCs w:val="24"/>
              </w:rPr>
            </w:pPr>
            <w:r>
              <w:rPr>
                <w:szCs w:val="24"/>
              </w:rPr>
              <w:t>-</w:t>
            </w:r>
          </w:p>
        </w:tc>
        <w:tc>
          <w:tcPr>
            <w:tcW w:w="756" w:type="dxa"/>
          </w:tcPr>
          <w:p>
            <w:pPr>
              <w:spacing w:after="0"/>
              <w:jc w:val="both"/>
              <w:rPr>
                <w:szCs w:val="24"/>
              </w:rPr>
            </w:pPr>
            <w:r>
              <w:rPr>
                <w:szCs w:val="24"/>
              </w:rPr>
              <w:t>-</w:t>
            </w:r>
          </w:p>
        </w:tc>
        <w:tc>
          <w:tcPr>
            <w:tcW w:w="839" w:type="dxa"/>
          </w:tcPr>
          <w:p>
            <w:pPr>
              <w:spacing w:after="0"/>
              <w:jc w:val="both"/>
              <w:rPr>
                <w:szCs w:val="24"/>
              </w:rPr>
            </w:pPr>
            <w:r>
              <w:rPr>
                <w:szCs w:val="24"/>
              </w:rPr>
              <w:t>-</w:t>
            </w:r>
          </w:p>
        </w:tc>
        <w:tc>
          <w:tcPr>
            <w:tcW w:w="839" w:type="dxa"/>
            <w:gridSpan w:val="2"/>
          </w:tcPr>
          <w:p>
            <w:pPr>
              <w:spacing w:after="0"/>
              <w:jc w:val="both"/>
              <w:rPr>
                <w:szCs w:val="24"/>
              </w:rPr>
            </w:pPr>
            <w:r>
              <w:rPr>
                <w:szCs w:val="24"/>
              </w:rPr>
              <w:t>5</w:t>
            </w:r>
          </w:p>
        </w:tc>
        <w:tc>
          <w:tcPr>
            <w:tcW w:w="671" w:type="dxa"/>
          </w:tcPr>
          <w:p>
            <w:pPr>
              <w:spacing w:after="0"/>
              <w:jc w:val="both"/>
              <w:rPr>
                <w:szCs w:val="24"/>
              </w:rPr>
            </w:pPr>
            <w:r>
              <w:rPr>
                <w:szCs w:val="24"/>
              </w:rPr>
              <w:t>-</w:t>
            </w:r>
          </w:p>
        </w:tc>
        <w:tc>
          <w:tcPr>
            <w:tcW w:w="672" w:type="dxa"/>
          </w:tcPr>
          <w:p>
            <w:pPr>
              <w:spacing w:after="0"/>
              <w:jc w:val="both"/>
              <w:rPr>
                <w:szCs w:val="24"/>
              </w:rPr>
            </w:pPr>
            <w:r>
              <w:rPr>
                <w:szCs w:val="24"/>
              </w:rPr>
              <w:t>-</w:t>
            </w:r>
          </w:p>
        </w:tc>
        <w:tc>
          <w:tcPr>
            <w:tcW w:w="574" w:type="dxa"/>
          </w:tcPr>
          <w:p>
            <w:pPr>
              <w:spacing w:after="0"/>
              <w:jc w:val="both"/>
              <w:rPr>
                <w:szCs w:val="24"/>
              </w:rPr>
            </w:pPr>
            <w:r>
              <w:rPr>
                <w:szCs w:val="24"/>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gridAfter w:val="1"/>
          <w:wAfter w:w="22" w:type="dxa"/>
          <w:trHeight w:val="404" w:hRule="atLeast"/>
        </w:trPr>
        <w:tc>
          <w:tcPr>
            <w:tcW w:w="1638" w:type="dxa"/>
          </w:tcPr>
          <w:p>
            <w:pPr>
              <w:spacing w:after="0"/>
              <w:jc w:val="both"/>
              <w:rPr>
                <w:b/>
                <w:szCs w:val="24"/>
              </w:rPr>
            </w:pPr>
            <w:r>
              <w:rPr>
                <w:bCs/>
                <w:szCs w:val="24"/>
              </w:rPr>
              <w:t>CHCl</w:t>
            </w:r>
            <w:r>
              <w:rPr>
                <w:bCs/>
                <w:szCs w:val="24"/>
                <w:vertAlign w:val="subscript"/>
              </w:rPr>
              <w:t>3</w:t>
            </w:r>
            <w:r>
              <w:rPr>
                <w:bCs/>
                <w:szCs w:val="24"/>
              </w:rPr>
              <w:t xml:space="preserve"> C4</w:t>
            </w:r>
          </w:p>
        </w:tc>
        <w:tc>
          <w:tcPr>
            <w:tcW w:w="630" w:type="dxa"/>
          </w:tcPr>
          <w:p>
            <w:pPr>
              <w:spacing w:after="0"/>
              <w:jc w:val="both"/>
              <w:rPr>
                <w:szCs w:val="24"/>
              </w:rPr>
            </w:pPr>
            <w:r>
              <w:rPr>
                <w:szCs w:val="24"/>
              </w:rPr>
              <w:t>-</w:t>
            </w:r>
          </w:p>
        </w:tc>
        <w:tc>
          <w:tcPr>
            <w:tcW w:w="630" w:type="dxa"/>
          </w:tcPr>
          <w:p>
            <w:pPr>
              <w:spacing w:after="0"/>
              <w:jc w:val="both"/>
              <w:rPr>
                <w:szCs w:val="24"/>
              </w:rPr>
            </w:pPr>
            <w:r>
              <w:rPr>
                <w:szCs w:val="24"/>
              </w:rPr>
              <w:t>-</w:t>
            </w:r>
          </w:p>
        </w:tc>
        <w:tc>
          <w:tcPr>
            <w:tcW w:w="655"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gridSpan w:val="2"/>
          </w:tcPr>
          <w:p>
            <w:pPr>
              <w:spacing w:after="0"/>
              <w:jc w:val="both"/>
              <w:rPr>
                <w:szCs w:val="24"/>
              </w:rPr>
            </w:pPr>
            <w:r>
              <w:rPr>
                <w:szCs w:val="24"/>
              </w:rPr>
              <w:t>-</w:t>
            </w:r>
          </w:p>
        </w:tc>
        <w:tc>
          <w:tcPr>
            <w:tcW w:w="756" w:type="dxa"/>
          </w:tcPr>
          <w:p>
            <w:pPr>
              <w:spacing w:after="0"/>
              <w:jc w:val="both"/>
              <w:rPr>
                <w:szCs w:val="24"/>
              </w:rPr>
            </w:pPr>
            <w:r>
              <w:rPr>
                <w:szCs w:val="24"/>
              </w:rPr>
              <w:t>-</w:t>
            </w:r>
          </w:p>
        </w:tc>
        <w:tc>
          <w:tcPr>
            <w:tcW w:w="839" w:type="dxa"/>
          </w:tcPr>
          <w:p>
            <w:pPr>
              <w:spacing w:after="0"/>
              <w:jc w:val="both"/>
              <w:rPr>
                <w:szCs w:val="24"/>
              </w:rPr>
            </w:pPr>
            <w:r>
              <w:rPr>
                <w:szCs w:val="24"/>
              </w:rPr>
              <w:t>-</w:t>
            </w:r>
          </w:p>
        </w:tc>
        <w:tc>
          <w:tcPr>
            <w:tcW w:w="839"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tcPr>
          <w:p>
            <w:pPr>
              <w:spacing w:after="0"/>
              <w:jc w:val="both"/>
              <w:rPr>
                <w:szCs w:val="24"/>
              </w:rPr>
            </w:pPr>
            <w:r>
              <w:rPr>
                <w:szCs w:val="24"/>
              </w:rPr>
              <w:t>-</w:t>
            </w:r>
          </w:p>
        </w:tc>
        <w:tc>
          <w:tcPr>
            <w:tcW w:w="574" w:type="dxa"/>
          </w:tcPr>
          <w:p>
            <w:pPr>
              <w:spacing w:after="0"/>
              <w:jc w:val="both"/>
              <w:rPr>
                <w:szCs w:val="24"/>
              </w:rPr>
            </w:pPr>
            <w:r>
              <w:rPr>
                <w:szCs w:val="24"/>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gridAfter w:val="1"/>
          <w:wAfter w:w="22" w:type="dxa"/>
          <w:trHeight w:val="413" w:hRule="atLeast"/>
        </w:trPr>
        <w:tc>
          <w:tcPr>
            <w:tcW w:w="1638" w:type="dxa"/>
          </w:tcPr>
          <w:p>
            <w:pPr>
              <w:spacing w:after="0"/>
              <w:jc w:val="both"/>
              <w:rPr>
                <w:b/>
                <w:szCs w:val="24"/>
              </w:rPr>
            </w:pPr>
            <w:r>
              <w:rPr>
                <w:bCs/>
                <w:szCs w:val="24"/>
              </w:rPr>
              <w:t>DEMSO</w:t>
            </w:r>
          </w:p>
        </w:tc>
        <w:tc>
          <w:tcPr>
            <w:tcW w:w="630" w:type="dxa"/>
          </w:tcPr>
          <w:p>
            <w:pPr>
              <w:spacing w:after="0"/>
              <w:jc w:val="both"/>
              <w:rPr>
                <w:szCs w:val="24"/>
              </w:rPr>
            </w:pPr>
            <w:r>
              <w:rPr>
                <w:szCs w:val="24"/>
              </w:rPr>
              <w:t>-</w:t>
            </w:r>
          </w:p>
        </w:tc>
        <w:tc>
          <w:tcPr>
            <w:tcW w:w="630" w:type="dxa"/>
          </w:tcPr>
          <w:p>
            <w:pPr>
              <w:spacing w:after="0"/>
              <w:jc w:val="both"/>
              <w:rPr>
                <w:szCs w:val="24"/>
              </w:rPr>
            </w:pPr>
            <w:r>
              <w:rPr>
                <w:szCs w:val="24"/>
              </w:rPr>
              <w:t>-</w:t>
            </w:r>
          </w:p>
        </w:tc>
        <w:tc>
          <w:tcPr>
            <w:tcW w:w="655"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gridSpan w:val="2"/>
          </w:tcPr>
          <w:p>
            <w:pPr>
              <w:spacing w:after="0"/>
              <w:jc w:val="both"/>
              <w:rPr>
                <w:szCs w:val="24"/>
              </w:rPr>
            </w:pPr>
            <w:r>
              <w:rPr>
                <w:szCs w:val="24"/>
              </w:rPr>
              <w:t>-</w:t>
            </w:r>
          </w:p>
        </w:tc>
        <w:tc>
          <w:tcPr>
            <w:tcW w:w="756" w:type="dxa"/>
          </w:tcPr>
          <w:p>
            <w:pPr>
              <w:spacing w:after="0"/>
              <w:jc w:val="both"/>
              <w:rPr>
                <w:szCs w:val="24"/>
              </w:rPr>
            </w:pPr>
            <w:r>
              <w:rPr>
                <w:szCs w:val="24"/>
              </w:rPr>
              <w:t>-</w:t>
            </w:r>
          </w:p>
        </w:tc>
        <w:tc>
          <w:tcPr>
            <w:tcW w:w="839" w:type="dxa"/>
          </w:tcPr>
          <w:p>
            <w:pPr>
              <w:spacing w:after="0"/>
              <w:jc w:val="both"/>
              <w:rPr>
                <w:szCs w:val="24"/>
              </w:rPr>
            </w:pPr>
            <w:r>
              <w:rPr>
                <w:szCs w:val="24"/>
              </w:rPr>
              <w:t>-</w:t>
            </w:r>
          </w:p>
        </w:tc>
        <w:tc>
          <w:tcPr>
            <w:tcW w:w="839"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tcPr>
          <w:p>
            <w:pPr>
              <w:spacing w:after="0"/>
              <w:jc w:val="both"/>
              <w:rPr>
                <w:szCs w:val="24"/>
              </w:rPr>
            </w:pPr>
            <w:r>
              <w:rPr>
                <w:szCs w:val="24"/>
              </w:rPr>
              <w:t>-</w:t>
            </w:r>
          </w:p>
        </w:tc>
        <w:tc>
          <w:tcPr>
            <w:tcW w:w="574" w:type="dxa"/>
          </w:tcPr>
          <w:p>
            <w:pPr>
              <w:spacing w:after="0"/>
              <w:jc w:val="both"/>
              <w:rPr>
                <w:szCs w:val="24"/>
              </w:rPr>
            </w:pPr>
            <w:r>
              <w:rPr>
                <w:szCs w:val="24"/>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gridAfter w:val="1"/>
          <w:wAfter w:w="22" w:type="dxa"/>
          <w:trHeight w:val="422" w:hRule="atLeast"/>
        </w:trPr>
        <w:tc>
          <w:tcPr>
            <w:tcW w:w="1638" w:type="dxa"/>
          </w:tcPr>
          <w:p>
            <w:pPr>
              <w:spacing w:after="0"/>
              <w:jc w:val="both"/>
              <w:rPr>
                <w:b/>
                <w:szCs w:val="24"/>
              </w:rPr>
            </w:pPr>
            <w:r>
              <w:rPr>
                <w:bCs/>
                <w:szCs w:val="24"/>
              </w:rPr>
              <w:t>ME C1</w:t>
            </w:r>
          </w:p>
        </w:tc>
        <w:tc>
          <w:tcPr>
            <w:tcW w:w="630" w:type="dxa"/>
          </w:tcPr>
          <w:p>
            <w:pPr>
              <w:spacing w:after="0"/>
              <w:jc w:val="both"/>
              <w:rPr>
                <w:szCs w:val="24"/>
              </w:rPr>
            </w:pPr>
            <w:r>
              <w:rPr>
                <w:szCs w:val="24"/>
              </w:rPr>
              <w:t>7</w:t>
            </w:r>
          </w:p>
        </w:tc>
        <w:tc>
          <w:tcPr>
            <w:tcW w:w="630" w:type="dxa"/>
          </w:tcPr>
          <w:p>
            <w:pPr>
              <w:spacing w:after="0"/>
              <w:jc w:val="both"/>
              <w:rPr>
                <w:szCs w:val="24"/>
              </w:rPr>
            </w:pPr>
            <w:r>
              <w:rPr>
                <w:szCs w:val="24"/>
              </w:rPr>
              <w:t>10</w:t>
            </w:r>
          </w:p>
        </w:tc>
        <w:tc>
          <w:tcPr>
            <w:tcW w:w="655" w:type="dxa"/>
            <w:gridSpan w:val="2"/>
          </w:tcPr>
          <w:p>
            <w:pPr>
              <w:spacing w:after="0"/>
              <w:jc w:val="both"/>
              <w:rPr>
                <w:szCs w:val="24"/>
              </w:rPr>
            </w:pPr>
            <w:r>
              <w:rPr>
                <w:szCs w:val="24"/>
              </w:rPr>
              <w:t>5</w:t>
            </w:r>
          </w:p>
        </w:tc>
        <w:tc>
          <w:tcPr>
            <w:tcW w:w="671" w:type="dxa"/>
          </w:tcPr>
          <w:p>
            <w:pPr>
              <w:spacing w:after="0"/>
              <w:jc w:val="both"/>
              <w:rPr>
                <w:szCs w:val="24"/>
              </w:rPr>
            </w:pPr>
            <w:r>
              <w:rPr>
                <w:szCs w:val="24"/>
              </w:rPr>
              <w:t>-</w:t>
            </w:r>
          </w:p>
        </w:tc>
        <w:tc>
          <w:tcPr>
            <w:tcW w:w="671" w:type="dxa"/>
          </w:tcPr>
          <w:p>
            <w:pPr>
              <w:spacing w:after="0"/>
              <w:jc w:val="both"/>
              <w:rPr>
                <w:szCs w:val="24"/>
              </w:rPr>
            </w:pPr>
            <w:r>
              <w:rPr>
                <w:szCs w:val="24"/>
              </w:rPr>
              <w:t>5</w:t>
            </w:r>
          </w:p>
        </w:tc>
        <w:tc>
          <w:tcPr>
            <w:tcW w:w="672" w:type="dxa"/>
            <w:gridSpan w:val="2"/>
          </w:tcPr>
          <w:p>
            <w:pPr>
              <w:spacing w:after="0"/>
              <w:jc w:val="both"/>
              <w:rPr>
                <w:szCs w:val="24"/>
              </w:rPr>
            </w:pPr>
            <w:r>
              <w:rPr>
                <w:szCs w:val="24"/>
              </w:rPr>
              <w:t>-</w:t>
            </w:r>
          </w:p>
        </w:tc>
        <w:tc>
          <w:tcPr>
            <w:tcW w:w="756" w:type="dxa"/>
          </w:tcPr>
          <w:p>
            <w:pPr>
              <w:spacing w:after="0"/>
              <w:jc w:val="both"/>
              <w:rPr>
                <w:szCs w:val="24"/>
              </w:rPr>
            </w:pPr>
            <w:r>
              <w:rPr>
                <w:szCs w:val="24"/>
              </w:rPr>
              <w:t>8</w:t>
            </w:r>
          </w:p>
        </w:tc>
        <w:tc>
          <w:tcPr>
            <w:tcW w:w="839" w:type="dxa"/>
          </w:tcPr>
          <w:p>
            <w:pPr>
              <w:spacing w:after="0"/>
              <w:jc w:val="both"/>
              <w:rPr>
                <w:szCs w:val="24"/>
              </w:rPr>
            </w:pPr>
            <w:r>
              <w:rPr>
                <w:szCs w:val="24"/>
              </w:rPr>
              <w:t>14</w:t>
            </w:r>
          </w:p>
        </w:tc>
        <w:tc>
          <w:tcPr>
            <w:tcW w:w="839" w:type="dxa"/>
            <w:gridSpan w:val="2"/>
          </w:tcPr>
          <w:p>
            <w:pPr>
              <w:spacing w:after="0"/>
              <w:jc w:val="both"/>
              <w:rPr>
                <w:szCs w:val="24"/>
              </w:rPr>
            </w:pPr>
            <w:r>
              <w:rPr>
                <w:szCs w:val="24"/>
              </w:rPr>
              <w:t>-</w:t>
            </w:r>
          </w:p>
        </w:tc>
        <w:tc>
          <w:tcPr>
            <w:tcW w:w="671" w:type="dxa"/>
          </w:tcPr>
          <w:p>
            <w:pPr>
              <w:spacing w:after="0"/>
              <w:jc w:val="both"/>
              <w:rPr>
                <w:szCs w:val="24"/>
              </w:rPr>
            </w:pPr>
            <w:r>
              <w:rPr>
                <w:szCs w:val="24"/>
              </w:rPr>
              <w:t>6</w:t>
            </w:r>
          </w:p>
        </w:tc>
        <w:tc>
          <w:tcPr>
            <w:tcW w:w="672" w:type="dxa"/>
          </w:tcPr>
          <w:p>
            <w:pPr>
              <w:spacing w:after="0"/>
              <w:jc w:val="both"/>
              <w:rPr>
                <w:szCs w:val="24"/>
              </w:rPr>
            </w:pPr>
            <w:r>
              <w:rPr>
                <w:szCs w:val="24"/>
              </w:rPr>
              <w:t>3</w:t>
            </w:r>
          </w:p>
        </w:tc>
        <w:tc>
          <w:tcPr>
            <w:tcW w:w="574" w:type="dxa"/>
          </w:tcPr>
          <w:p>
            <w:pPr>
              <w:spacing w:after="0"/>
              <w:jc w:val="both"/>
              <w:rPr>
                <w:szCs w:val="24"/>
              </w:rPr>
            </w:pPr>
            <w:r>
              <w:rPr>
                <w:szCs w:val="24"/>
              </w:rPr>
              <w:t>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gridAfter w:val="1"/>
          <w:wAfter w:w="22" w:type="dxa"/>
          <w:trHeight w:val="449" w:hRule="atLeast"/>
        </w:trPr>
        <w:tc>
          <w:tcPr>
            <w:tcW w:w="1638" w:type="dxa"/>
          </w:tcPr>
          <w:p>
            <w:pPr>
              <w:spacing w:after="0"/>
              <w:jc w:val="both"/>
              <w:rPr>
                <w:b/>
                <w:szCs w:val="24"/>
              </w:rPr>
            </w:pPr>
            <w:r>
              <w:rPr>
                <w:bCs/>
                <w:szCs w:val="24"/>
              </w:rPr>
              <w:t>ME C2</w:t>
            </w:r>
          </w:p>
        </w:tc>
        <w:tc>
          <w:tcPr>
            <w:tcW w:w="630" w:type="dxa"/>
          </w:tcPr>
          <w:p>
            <w:pPr>
              <w:spacing w:after="0"/>
              <w:jc w:val="both"/>
              <w:rPr>
                <w:szCs w:val="24"/>
              </w:rPr>
            </w:pPr>
            <w:r>
              <w:rPr>
                <w:szCs w:val="24"/>
              </w:rPr>
              <w:t>4</w:t>
            </w:r>
          </w:p>
        </w:tc>
        <w:tc>
          <w:tcPr>
            <w:tcW w:w="630" w:type="dxa"/>
          </w:tcPr>
          <w:p>
            <w:pPr>
              <w:spacing w:after="0"/>
              <w:jc w:val="both"/>
              <w:rPr>
                <w:szCs w:val="24"/>
              </w:rPr>
            </w:pPr>
            <w:r>
              <w:rPr>
                <w:szCs w:val="24"/>
              </w:rPr>
              <w:t>6</w:t>
            </w:r>
          </w:p>
        </w:tc>
        <w:tc>
          <w:tcPr>
            <w:tcW w:w="655"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gridSpan w:val="2"/>
          </w:tcPr>
          <w:p>
            <w:pPr>
              <w:spacing w:after="0"/>
              <w:jc w:val="both"/>
              <w:rPr>
                <w:szCs w:val="24"/>
              </w:rPr>
            </w:pPr>
            <w:r>
              <w:rPr>
                <w:szCs w:val="24"/>
              </w:rPr>
              <w:t>-</w:t>
            </w:r>
          </w:p>
        </w:tc>
        <w:tc>
          <w:tcPr>
            <w:tcW w:w="756" w:type="dxa"/>
          </w:tcPr>
          <w:p>
            <w:pPr>
              <w:spacing w:after="0"/>
              <w:jc w:val="both"/>
              <w:rPr>
                <w:szCs w:val="24"/>
              </w:rPr>
            </w:pPr>
            <w:r>
              <w:rPr>
                <w:szCs w:val="24"/>
              </w:rPr>
              <w:t>5</w:t>
            </w:r>
          </w:p>
        </w:tc>
        <w:tc>
          <w:tcPr>
            <w:tcW w:w="839" w:type="dxa"/>
          </w:tcPr>
          <w:p>
            <w:pPr>
              <w:spacing w:after="0"/>
              <w:jc w:val="both"/>
              <w:rPr>
                <w:szCs w:val="24"/>
              </w:rPr>
            </w:pPr>
            <w:r>
              <w:rPr>
                <w:szCs w:val="24"/>
              </w:rPr>
              <w:t>7</w:t>
            </w:r>
          </w:p>
        </w:tc>
        <w:tc>
          <w:tcPr>
            <w:tcW w:w="839"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tcPr>
          <w:p>
            <w:pPr>
              <w:spacing w:after="0"/>
              <w:jc w:val="both"/>
              <w:rPr>
                <w:szCs w:val="24"/>
              </w:rPr>
            </w:pPr>
            <w:r>
              <w:rPr>
                <w:szCs w:val="24"/>
              </w:rPr>
              <w:t>3</w:t>
            </w:r>
          </w:p>
        </w:tc>
        <w:tc>
          <w:tcPr>
            <w:tcW w:w="574" w:type="dxa"/>
          </w:tcPr>
          <w:p>
            <w:pPr>
              <w:spacing w:after="0"/>
              <w:jc w:val="both"/>
              <w:rPr>
                <w:szCs w:val="24"/>
              </w:rPr>
            </w:pPr>
            <w:r>
              <w:rPr>
                <w:szCs w:val="24"/>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gridAfter w:val="1"/>
          <w:wAfter w:w="22" w:type="dxa"/>
          <w:trHeight w:val="314" w:hRule="atLeast"/>
        </w:trPr>
        <w:tc>
          <w:tcPr>
            <w:tcW w:w="1638" w:type="dxa"/>
          </w:tcPr>
          <w:p>
            <w:pPr>
              <w:spacing w:after="0"/>
              <w:jc w:val="both"/>
              <w:rPr>
                <w:b/>
                <w:szCs w:val="24"/>
              </w:rPr>
            </w:pPr>
            <w:r>
              <w:rPr>
                <w:bCs/>
                <w:szCs w:val="24"/>
              </w:rPr>
              <w:t>ME C3</w:t>
            </w:r>
          </w:p>
        </w:tc>
        <w:tc>
          <w:tcPr>
            <w:tcW w:w="630" w:type="dxa"/>
          </w:tcPr>
          <w:p>
            <w:pPr>
              <w:spacing w:after="0"/>
              <w:jc w:val="both"/>
              <w:rPr>
                <w:szCs w:val="24"/>
              </w:rPr>
            </w:pPr>
            <w:r>
              <w:rPr>
                <w:szCs w:val="24"/>
              </w:rPr>
              <w:t>-</w:t>
            </w:r>
          </w:p>
        </w:tc>
        <w:tc>
          <w:tcPr>
            <w:tcW w:w="630" w:type="dxa"/>
          </w:tcPr>
          <w:p>
            <w:pPr>
              <w:spacing w:after="0"/>
              <w:jc w:val="both"/>
              <w:rPr>
                <w:szCs w:val="24"/>
              </w:rPr>
            </w:pPr>
            <w:r>
              <w:rPr>
                <w:szCs w:val="24"/>
              </w:rPr>
              <w:t>-</w:t>
            </w:r>
          </w:p>
        </w:tc>
        <w:tc>
          <w:tcPr>
            <w:tcW w:w="655"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gridSpan w:val="2"/>
          </w:tcPr>
          <w:p>
            <w:pPr>
              <w:spacing w:after="0"/>
              <w:jc w:val="both"/>
              <w:rPr>
                <w:szCs w:val="24"/>
              </w:rPr>
            </w:pPr>
            <w:r>
              <w:rPr>
                <w:szCs w:val="24"/>
              </w:rPr>
              <w:t>-</w:t>
            </w:r>
          </w:p>
        </w:tc>
        <w:tc>
          <w:tcPr>
            <w:tcW w:w="756" w:type="dxa"/>
          </w:tcPr>
          <w:p>
            <w:pPr>
              <w:spacing w:after="0"/>
              <w:jc w:val="both"/>
              <w:rPr>
                <w:szCs w:val="24"/>
              </w:rPr>
            </w:pPr>
            <w:r>
              <w:rPr>
                <w:szCs w:val="24"/>
              </w:rPr>
              <w:t>-</w:t>
            </w:r>
          </w:p>
        </w:tc>
        <w:tc>
          <w:tcPr>
            <w:tcW w:w="839" w:type="dxa"/>
          </w:tcPr>
          <w:p>
            <w:pPr>
              <w:spacing w:after="0"/>
              <w:jc w:val="both"/>
              <w:rPr>
                <w:szCs w:val="24"/>
              </w:rPr>
            </w:pPr>
            <w:r>
              <w:rPr>
                <w:szCs w:val="24"/>
              </w:rPr>
              <w:t>-</w:t>
            </w:r>
          </w:p>
        </w:tc>
        <w:tc>
          <w:tcPr>
            <w:tcW w:w="839"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tcPr>
          <w:p>
            <w:pPr>
              <w:spacing w:after="0"/>
              <w:jc w:val="both"/>
              <w:rPr>
                <w:szCs w:val="24"/>
              </w:rPr>
            </w:pPr>
            <w:r>
              <w:rPr>
                <w:szCs w:val="24"/>
              </w:rPr>
              <w:t>-</w:t>
            </w:r>
          </w:p>
        </w:tc>
        <w:tc>
          <w:tcPr>
            <w:tcW w:w="574" w:type="dxa"/>
          </w:tcPr>
          <w:p>
            <w:pPr>
              <w:spacing w:after="0"/>
              <w:jc w:val="both"/>
              <w:rPr>
                <w:szCs w:val="24"/>
              </w:rPr>
            </w:pPr>
            <w:r>
              <w:rPr>
                <w:szCs w:val="24"/>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gridAfter w:val="1"/>
          <w:wAfter w:w="22" w:type="dxa"/>
          <w:trHeight w:val="303" w:hRule="atLeast"/>
        </w:trPr>
        <w:tc>
          <w:tcPr>
            <w:tcW w:w="1638" w:type="dxa"/>
          </w:tcPr>
          <w:p>
            <w:pPr>
              <w:spacing w:after="0"/>
              <w:jc w:val="both"/>
              <w:rPr>
                <w:b/>
                <w:szCs w:val="24"/>
              </w:rPr>
            </w:pPr>
            <w:r>
              <w:rPr>
                <w:bCs/>
                <w:szCs w:val="24"/>
              </w:rPr>
              <w:t>ME C4</w:t>
            </w:r>
          </w:p>
        </w:tc>
        <w:tc>
          <w:tcPr>
            <w:tcW w:w="630" w:type="dxa"/>
          </w:tcPr>
          <w:p>
            <w:pPr>
              <w:spacing w:after="0"/>
              <w:jc w:val="both"/>
              <w:rPr>
                <w:szCs w:val="24"/>
              </w:rPr>
            </w:pPr>
            <w:r>
              <w:rPr>
                <w:szCs w:val="24"/>
              </w:rPr>
              <w:t>-</w:t>
            </w:r>
          </w:p>
        </w:tc>
        <w:tc>
          <w:tcPr>
            <w:tcW w:w="630" w:type="dxa"/>
          </w:tcPr>
          <w:p>
            <w:pPr>
              <w:spacing w:after="0"/>
              <w:jc w:val="both"/>
              <w:rPr>
                <w:szCs w:val="24"/>
              </w:rPr>
            </w:pPr>
            <w:r>
              <w:rPr>
                <w:szCs w:val="24"/>
              </w:rPr>
              <w:t>-</w:t>
            </w:r>
          </w:p>
        </w:tc>
        <w:tc>
          <w:tcPr>
            <w:tcW w:w="655"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gridSpan w:val="2"/>
          </w:tcPr>
          <w:p>
            <w:pPr>
              <w:spacing w:after="0"/>
              <w:jc w:val="both"/>
              <w:rPr>
                <w:szCs w:val="24"/>
              </w:rPr>
            </w:pPr>
            <w:r>
              <w:rPr>
                <w:szCs w:val="24"/>
              </w:rPr>
              <w:t>-</w:t>
            </w:r>
          </w:p>
        </w:tc>
        <w:tc>
          <w:tcPr>
            <w:tcW w:w="756" w:type="dxa"/>
          </w:tcPr>
          <w:p>
            <w:pPr>
              <w:spacing w:after="0"/>
              <w:jc w:val="both"/>
              <w:rPr>
                <w:szCs w:val="24"/>
              </w:rPr>
            </w:pPr>
            <w:r>
              <w:rPr>
                <w:szCs w:val="24"/>
              </w:rPr>
              <w:t>-</w:t>
            </w:r>
          </w:p>
        </w:tc>
        <w:tc>
          <w:tcPr>
            <w:tcW w:w="839" w:type="dxa"/>
          </w:tcPr>
          <w:p>
            <w:pPr>
              <w:spacing w:after="0"/>
              <w:jc w:val="both"/>
              <w:rPr>
                <w:szCs w:val="24"/>
              </w:rPr>
            </w:pPr>
            <w:r>
              <w:rPr>
                <w:szCs w:val="24"/>
              </w:rPr>
              <w:t>-</w:t>
            </w:r>
          </w:p>
        </w:tc>
        <w:tc>
          <w:tcPr>
            <w:tcW w:w="839"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tcPr>
          <w:p>
            <w:pPr>
              <w:spacing w:after="0"/>
              <w:jc w:val="both"/>
              <w:rPr>
                <w:szCs w:val="24"/>
              </w:rPr>
            </w:pPr>
            <w:r>
              <w:rPr>
                <w:szCs w:val="24"/>
              </w:rPr>
              <w:t>-</w:t>
            </w:r>
          </w:p>
        </w:tc>
        <w:tc>
          <w:tcPr>
            <w:tcW w:w="574" w:type="dxa"/>
          </w:tcPr>
          <w:p>
            <w:pPr>
              <w:spacing w:after="0"/>
              <w:jc w:val="both"/>
              <w:rPr>
                <w:szCs w:val="24"/>
              </w:rPr>
            </w:pPr>
            <w:r>
              <w:rPr>
                <w:szCs w:val="24"/>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gridAfter w:val="1"/>
          <w:wAfter w:w="22" w:type="dxa"/>
          <w:trHeight w:val="422" w:hRule="atLeast"/>
        </w:trPr>
        <w:tc>
          <w:tcPr>
            <w:tcW w:w="1638" w:type="dxa"/>
          </w:tcPr>
          <w:p>
            <w:pPr>
              <w:spacing w:after="0"/>
              <w:jc w:val="both"/>
              <w:rPr>
                <w:b/>
                <w:szCs w:val="24"/>
              </w:rPr>
            </w:pPr>
            <w:r>
              <w:rPr>
                <w:bCs/>
                <w:szCs w:val="24"/>
              </w:rPr>
              <w:t>DEMSO</w:t>
            </w:r>
          </w:p>
        </w:tc>
        <w:tc>
          <w:tcPr>
            <w:tcW w:w="630" w:type="dxa"/>
          </w:tcPr>
          <w:p>
            <w:pPr>
              <w:spacing w:after="0"/>
              <w:jc w:val="both"/>
              <w:rPr>
                <w:szCs w:val="24"/>
              </w:rPr>
            </w:pPr>
            <w:r>
              <w:rPr>
                <w:szCs w:val="24"/>
              </w:rPr>
              <w:t>-</w:t>
            </w:r>
          </w:p>
        </w:tc>
        <w:tc>
          <w:tcPr>
            <w:tcW w:w="630" w:type="dxa"/>
          </w:tcPr>
          <w:p>
            <w:pPr>
              <w:spacing w:after="0"/>
              <w:jc w:val="both"/>
              <w:rPr>
                <w:szCs w:val="24"/>
              </w:rPr>
            </w:pPr>
            <w:r>
              <w:rPr>
                <w:szCs w:val="24"/>
              </w:rPr>
              <w:t>-</w:t>
            </w:r>
          </w:p>
        </w:tc>
        <w:tc>
          <w:tcPr>
            <w:tcW w:w="655"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gridSpan w:val="2"/>
          </w:tcPr>
          <w:p>
            <w:pPr>
              <w:spacing w:after="0"/>
              <w:jc w:val="both"/>
              <w:rPr>
                <w:szCs w:val="24"/>
              </w:rPr>
            </w:pPr>
            <w:r>
              <w:rPr>
                <w:szCs w:val="24"/>
              </w:rPr>
              <w:t>-</w:t>
            </w:r>
          </w:p>
        </w:tc>
        <w:tc>
          <w:tcPr>
            <w:tcW w:w="756" w:type="dxa"/>
          </w:tcPr>
          <w:p>
            <w:pPr>
              <w:spacing w:after="0"/>
              <w:jc w:val="both"/>
              <w:rPr>
                <w:szCs w:val="24"/>
              </w:rPr>
            </w:pPr>
            <w:r>
              <w:rPr>
                <w:szCs w:val="24"/>
              </w:rPr>
              <w:t>-</w:t>
            </w:r>
          </w:p>
        </w:tc>
        <w:tc>
          <w:tcPr>
            <w:tcW w:w="839" w:type="dxa"/>
          </w:tcPr>
          <w:p>
            <w:pPr>
              <w:spacing w:after="0"/>
              <w:jc w:val="both"/>
              <w:rPr>
                <w:szCs w:val="24"/>
              </w:rPr>
            </w:pPr>
            <w:r>
              <w:rPr>
                <w:szCs w:val="24"/>
              </w:rPr>
              <w:t>-</w:t>
            </w:r>
          </w:p>
        </w:tc>
        <w:tc>
          <w:tcPr>
            <w:tcW w:w="839" w:type="dxa"/>
            <w:gridSpan w:val="2"/>
          </w:tcPr>
          <w:p>
            <w:pPr>
              <w:spacing w:after="0"/>
              <w:jc w:val="both"/>
              <w:rPr>
                <w:szCs w:val="24"/>
              </w:rPr>
            </w:pPr>
            <w:r>
              <w:rPr>
                <w:szCs w:val="24"/>
              </w:rPr>
              <w:t>-</w:t>
            </w:r>
          </w:p>
        </w:tc>
        <w:tc>
          <w:tcPr>
            <w:tcW w:w="671" w:type="dxa"/>
          </w:tcPr>
          <w:p>
            <w:pPr>
              <w:spacing w:after="0"/>
              <w:jc w:val="both"/>
              <w:rPr>
                <w:szCs w:val="24"/>
              </w:rPr>
            </w:pPr>
            <w:r>
              <w:rPr>
                <w:szCs w:val="24"/>
              </w:rPr>
              <w:t>-</w:t>
            </w:r>
          </w:p>
        </w:tc>
        <w:tc>
          <w:tcPr>
            <w:tcW w:w="672" w:type="dxa"/>
          </w:tcPr>
          <w:p>
            <w:pPr>
              <w:spacing w:after="0"/>
              <w:jc w:val="both"/>
              <w:rPr>
                <w:szCs w:val="24"/>
              </w:rPr>
            </w:pPr>
            <w:r>
              <w:rPr>
                <w:szCs w:val="24"/>
              </w:rPr>
              <w:t>-</w:t>
            </w:r>
          </w:p>
        </w:tc>
        <w:tc>
          <w:tcPr>
            <w:tcW w:w="574" w:type="dxa"/>
          </w:tcPr>
          <w:p>
            <w:pPr>
              <w:spacing w:after="0"/>
              <w:jc w:val="both"/>
              <w:rPr>
                <w:szCs w:val="24"/>
              </w:rPr>
            </w:pPr>
            <w:r>
              <w:rPr>
                <w:szCs w:val="24"/>
              </w:rPr>
              <w:t>-</w:t>
            </w:r>
          </w:p>
        </w:tc>
      </w:tr>
    </w:tbl>
    <w:p>
      <w:pPr>
        <w:jc w:val="both"/>
        <w:rPr>
          <w:szCs w:val="24"/>
        </w:rPr>
      </w:pPr>
      <w:r>
        <w:rPr>
          <w:b/>
          <w:bCs/>
          <w:szCs w:val="24"/>
        </w:rPr>
        <w:t xml:space="preserve">Key: </w:t>
      </w:r>
      <w:r>
        <w:rPr>
          <w:szCs w:val="24"/>
        </w:rPr>
        <w:t xml:space="preserve">ME: Methanol; C1: 100 mg/L; C2: 75 g/L; C3: 50 mg/L; C4: 25 mg/L. DEMSO: dimethyl sulfoxide </w:t>
      </w:r>
    </w:p>
    <w:p>
      <w:pPr>
        <w:jc w:val="both"/>
        <w:rPr>
          <w:szCs w:val="24"/>
        </w:rPr>
      </w:pPr>
      <w:r>
        <w:rPr>
          <w:szCs w:val="24"/>
        </w:rPr>
        <w:t xml:space="preserve">The zones of inhibition of gentamicin (diameter in mm) for </w:t>
      </w:r>
      <w:r>
        <w:rPr>
          <w:i/>
          <w:szCs w:val="24"/>
        </w:rPr>
        <w:t xml:space="preserve">E.coli, S. aureus, S. pyogens and K. pneumonia are </w:t>
      </w:r>
      <w:r>
        <w:rPr>
          <w:szCs w:val="24"/>
        </w:rPr>
        <w:t>27 mm, 29 mm, 19 mm and 17 mm respectively.</w:t>
      </w:r>
    </w:p>
    <w:p>
      <w:pPr>
        <w:pStyle w:val="6"/>
        <w:jc w:val="both"/>
        <w:rPr>
          <w:rFonts w:ascii="Times New Roman" w:hAnsi="Times New Roman" w:cs="Times New Roman"/>
          <w:b/>
          <w:bCs/>
          <w:sz w:val="24"/>
          <w:szCs w:val="24"/>
        </w:rPr>
      </w:pPr>
    </w:p>
    <w:p>
      <w:pPr>
        <w:pStyle w:val="6"/>
        <w:jc w:val="both"/>
        <w:rPr>
          <w:rFonts w:ascii="Times New Roman" w:hAnsi="Times New Roman" w:cs="Times New Roman"/>
          <w:b/>
          <w:bCs/>
          <w:sz w:val="24"/>
          <w:szCs w:val="24"/>
        </w:rPr>
      </w:pPr>
    </w:p>
    <w:p>
      <w:pPr>
        <w:pStyle w:val="6"/>
        <w:jc w:val="both"/>
        <w:rPr>
          <w:rFonts w:ascii="Times New Roman" w:hAnsi="Times New Roman" w:cs="Times New Roman"/>
          <w:b/>
          <w:bCs/>
          <w:sz w:val="24"/>
          <w:szCs w:val="24"/>
        </w:rPr>
      </w:pPr>
    </w:p>
    <w:p>
      <w:pPr>
        <w:pStyle w:val="6"/>
        <w:jc w:val="both"/>
        <w:rPr>
          <w:rFonts w:ascii="Times New Roman" w:hAnsi="Times New Roman" w:cs="Times New Roman"/>
          <w:b/>
          <w:bCs/>
          <w:sz w:val="24"/>
          <w:szCs w:val="24"/>
        </w:rPr>
      </w:pPr>
    </w:p>
    <w:p>
      <w:pPr>
        <w:pStyle w:val="6"/>
        <w:jc w:val="both"/>
        <w:rPr>
          <w:rFonts w:ascii="Times New Roman" w:hAnsi="Times New Roman" w:cs="Times New Roman"/>
          <w:b/>
          <w:bCs/>
          <w:sz w:val="24"/>
          <w:szCs w:val="24"/>
        </w:rPr>
      </w:pPr>
    </w:p>
    <w:p>
      <w:pPr>
        <w:pStyle w:val="6"/>
        <w:jc w:val="both"/>
        <w:rPr>
          <w:rFonts w:ascii="Times New Roman" w:hAnsi="Times New Roman" w:cs="Times New Roman"/>
          <w:sz w:val="24"/>
          <w:szCs w:val="24"/>
        </w:rPr>
      </w:pPr>
      <w:r>
        <w:rPr>
          <w:rFonts w:ascii="Times New Roman" w:hAnsi="Times New Roman" w:cs="Times New Roman"/>
          <w:b/>
          <w:bCs/>
          <w:sz w:val="24"/>
          <w:szCs w:val="24"/>
        </w:rPr>
        <w:t xml:space="preserve">Table </w:t>
      </w: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SEQ Table \* ARABIC </w:instrText>
      </w:r>
      <w:r>
        <w:rPr>
          <w:rFonts w:ascii="Times New Roman" w:hAnsi="Times New Roman" w:cs="Times New Roman"/>
          <w:b/>
          <w:bCs/>
          <w:sz w:val="24"/>
          <w:szCs w:val="24"/>
        </w:rPr>
        <w:fldChar w:fldCharType="separate"/>
      </w:r>
      <w:r>
        <w:rPr>
          <w:rFonts w:ascii="Times New Roman" w:hAnsi="Times New Roman" w:cs="Times New Roman"/>
          <w:b/>
          <w:bCs/>
          <w:sz w:val="24"/>
          <w:szCs w:val="24"/>
        </w:rPr>
        <w:t>3</w:t>
      </w:r>
      <w:r>
        <w:rPr>
          <w:rFonts w:ascii="Times New Roman" w:hAnsi="Times New Roman" w:cs="Times New Roman"/>
          <w:b/>
          <w:bCs/>
          <w:sz w:val="24"/>
          <w:szCs w:val="24"/>
        </w:rPr>
        <w:fldChar w:fldCharType="end"/>
      </w:r>
      <w:bookmarkStart w:id="69" w:name="_Toc6014"/>
      <w:r>
        <w:rPr>
          <w:rFonts w:ascii="Times New Roman" w:hAnsi="Times New Roman" w:cs="Times New Roman"/>
          <w:b/>
          <w:bCs/>
          <w:sz w:val="24"/>
          <w:szCs w:val="24"/>
        </w:rPr>
        <w:t xml:space="preserve">: </w:t>
      </w:r>
      <w:r>
        <w:rPr>
          <w:rFonts w:ascii="Times New Roman" w:hAnsi="Times New Roman" w:cs="Times New Roman"/>
          <w:sz w:val="24"/>
          <w:szCs w:val="24"/>
        </w:rPr>
        <w:t xml:space="preserve">Mean zone of inhibition of crude chloroform and methanol extracts of </w:t>
      </w:r>
      <w:r>
        <w:rPr>
          <w:rFonts w:ascii="Times New Roman" w:hAnsi="Times New Roman" w:cs="Times New Roman"/>
          <w:i/>
          <w:iCs/>
          <w:sz w:val="24"/>
          <w:szCs w:val="24"/>
        </w:rPr>
        <w:t>V. sinaiticum</w:t>
      </w:r>
      <w:bookmarkEnd w:id="69"/>
    </w:p>
    <w:tbl>
      <w:tblPr>
        <w:tblStyle w:val="17"/>
        <w:tblW w:w="9720" w:type="dxa"/>
        <w:tblInd w:w="0" w:type="dxa"/>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09"/>
        <w:gridCol w:w="1854"/>
        <w:gridCol w:w="2194"/>
        <w:gridCol w:w="1882"/>
        <w:gridCol w:w="1881"/>
      </w:tblGrid>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14" w:hRule="atLeast"/>
        </w:trPr>
        <w:tc>
          <w:tcPr>
            <w:tcW w:w="1909" w:type="dxa"/>
            <w:tcBorders>
              <w:top w:val="single" w:color="auto" w:sz="4" w:space="0"/>
              <w:left w:val="single" w:color="auto" w:sz="4" w:space="0"/>
              <w:bottom w:val="single" w:color="000000" w:themeColor="text1" w:sz="8" w:space="0"/>
              <w:right w:val="nil"/>
              <w:insideH w:val="single" w:sz="8" w:space="0"/>
              <w:insideV w:val="nil"/>
            </w:tcBorders>
          </w:tcPr>
          <w:p>
            <w:pPr>
              <w:spacing w:before="0" w:after="0"/>
              <w:jc w:val="both"/>
              <w:rPr>
                <w:b/>
                <w:bCs/>
                <w:color w:val="auto"/>
                <w:szCs w:val="24"/>
              </w:rPr>
            </w:pPr>
            <w:r>
              <w:rPr>
                <w:b w:val="0"/>
                <w:bCs/>
                <w:color w:val="auto"/>
                <w:szCs w:val="24"/>
              </w:rPr>
              <w:t xml:space="preserve">Test bacteria  </w:t>
            </w:r>
          </w:p>
        </w:tc>
        <w:tc>
          <w:tcPr>
            <w:tcW w:w="1854" w:type="dxa"/>
            <w:tcBorders>
              <w:top w:val="single" w:color="auto" w:sz="4" w:space="0"/>
              <w:bottom w:val="single" w:color="000000" w:themeColor="text1" w:sz="8" w:space="0"/>
              <w:right w:val="nil"/>
              <w:insideH w:val="single" w:sz="8" w:space="0"/>
              <w:insideV w:val="nil"/>
            </w:tcBorders>
          </w:tcPr>
          <w:p>
            <w:pPr>
              <w:spacing w:before="0" w:after="0"/>
              <w:jc w:val="both"/>
              <w:rPr>
                <w:b/>
                <w:bCs/>
                <w:color w:val="auto"/>
                <w:szCs w:val="24"/>
              </w:rPr>
            </w:pPr>
            <w:r>
              <w:rPr>
                <w:b w:val="0"/>
                <w:bCs/>
                <w:color w:val="auto"/>
                <w:szCs w:val="24"/>
              </w:rPr>
              <w:t xml:space="preserve">Concentration (mg/L) </w:t>
            </w:r>
          </w:p>
        </w:tc>
        <w:tc>
          <w:tcPr>
            <w:tcW w:w="4076" w:type="dxa"/>
            <w:gridSpan w:val="2"/>
            <w:tcBorders>
              <w:top w:val="single" w:color="auto" w:sz="4" w:space="0"/>
              <w:bottom w:val="single" w:color="000000" w:themeColor="text1" w:sz="8" w:space="0"/>
              <w:right w:val="nil"/>
              <w:insideH w:val="single" w:sz="8" w:space="0"/>
              <w:insideV w:val="nil"/>
            </w:tcBorders>
          </w:tcPr>
          <w:p>
            <w:pPr>
              <w:spacing w:before="0" w:after="0"/>
              <w:jc w:val="both"/>
              <w:rPr>
                <w:b/>
                <w:bCs/>
                <w:color w:val="auto"/>
                <w:szCs w:val="24"/>
              </w:rPr>
            </w:pPr>
            <w:r>
              <w:rPr>
                <w:b w:val="0"/>
                <w:bCs/>
                <w:color w:val="auto"/>
                <w:szCs w:val="24"/>
              </w:rPr>
              <w:t>%inhibition zone ± SD (mm)</w:t>
            </w:r>
          </w:p>
        </w:tc>
        <w:tc>
          <w:tcPr>
            <w:tcW w:w="1881" w:type="dxa"/>
            <w:tcBorders>
              <w:top w:val="single" w:color="auto" w:sz="4" w:space="0"/>
              <w:bottom w:val="single" w:color="000000" w:themeColor="text1" w:sz="8" w:space="0"/>
              <w:right w:val="single" w:color="auto" w:sz="4" w:space="0"/>
              <w:insideH w:val="single" w:sz="8" w:space="0"/>
              <w:insideV w:val="nil"/>
            </w:tcBorders>
          </w:tcPr>
          <w:p>
            <w:pPr>
              <w:spacing w:before="0" w:after="0"/>
              <w:jc w:val="both"/>
              <w:rPr>
                <w:b/>
                <w:bCs/>
                <w:color w:val="auto"/>
                <w:szCs w:val="24"/>
              </w:rPr>
            </w:pPr>
            <w:r>
              <w:rPr>
                <w:b w:val="0"/>
                <w:bCs/>
                <w:color w:val="auto"/>
                <w:szCs w:val="24"/>
              </w:rPr>
              <w:t>Gentamycin (10µg) %Inhibition zone± SD</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3" w:hRule="atLeast"/>
        </w:trPr>
        <w:tc>
          <w:tcPr>
            <w:tcW w:w="1909" w:type="dxa"/>
            <w:tcBorders>
              <w:left w:val="single" w:color="auto" w:sz="4" w:space="0"/>
            </w:tcBorders>
          </w:tcPr>
          <w:p>
            <w:pPr>
              <w:spacing w:after="0"/>
              <w:jc w:val="both"/>
              <w:rPr>
                <w:b/>
                <w:bCs/>
                <w:color w:val="auto"/>
                <w:szCs w:val="24"/>
              </w:rPr>
            </w:pPr>
          </w:p>
        </w:tc>
        <w:tc>
          <w:tcPr>
            <w:tcW w:w="1854" w:type="dxa"/>
          </w:tcPr>
          <w:p>
            <w:pPr>
              <w:spacing w:after="0"/>
              <w:jc w:val="both"/>
              <w:rPr>
                <w:color w:val="auto"/>
                <w:szCs w:val="24"/>
              </w:rPr>
            </w:pPr>
          </w:p>
        </w:tc>
        <w:tc>
          <w:tcPr>
            <w:tcW w:w="2194" w:type="dxa"/>
          </w:tcPr>
          <w:p>
            <w:pPr>
              <w:spacing w:after="0"/>
              <w:jc w:val="both"/>
              <w:rPr>
                <w:color w:val="auto"/>
                <w:szCs w:val="24"/>
              </w:rPr>
            </w:pPr>
            <w:r>
              <w:rPr>
                <w:color w:val="auto"/>
                <w:szCs w:val="24"/>
              </w:rPr>
              <w:t>Chloroform</w:t>
            </w:r>
          </w:p>
        </w:tc>
        <w:tc>
          <w:tcPr>
            <w:tcW w:w="1882" w:type="dxa"/>
          </w:tcPr>
          <w:p>
            <w:pPr>
              <w:spacing w:after="0"/>
              <w:jc w:val="both"/>
              <w:rPr>
                <w:color w:val="auto"/>
                <w:szCs w:val="24"/>
              </w:rPr>
            </w:pPr>
            <w:r>
              <w:rPr>
                <w:color w:val="auto"/>
                <w:szCs w:val="24"/>
              </w:rPr>
              <w:t>Methanol</w:t>
            </w:r>
          </w:p>
        </w:tc>
        <w:tc>
          <w:tcPr>
            <w:tcW w:w="1881" w:type="dxa"/>
            <w:vMerge w:val="restart"/>
            <w:tcBorders>
              <w:right w:val="single" w:color="auto" w:sz="4" w:space="0"/>
            </w:tcBorders>
          </w:tcPr>
          <w:p>
            <w:pPr>
              <w:spacing w:after="0"/>
              <w:jc w:val="both"/>
              <w:rPr>
                <w:color w:val="auto"/>
                <w:szCs w:val="24"/>
              </w:rPr>
            </w:pPr>
            <w:r>
              <w:rPr>
                <w:color w:val="auto"/>
                <w:szCs w:val="24"/>
              </w:rPr>
              <w:t>27±2</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3" w:hRule="atLeast"/>
        </w:trPr>
        <w:tc>
          <w:tcPr>
            <w:tcW w:w="1909" w:type="dxa"/>
            <w:vMerge w:val="restart"/>
            <w:tcBorders>
              <w:left w:val="single" w:color="auto" w:sz="4" w:space="0"/>
            </w:tcBorders>
          </w:tcPr>
          <w:p>
            <w:pPr>
              <w:spacing w:after="0"/>
              <w:jc w:val="both"/>
              <w:rPr>
                <w:b/>
                <w:bCs/>
                <w:color w:val="auto"/>
                <w:szCs w:val="24"/>
              </w:rPr>
            </w:pPr>
            <w:r>
              <w:rPr>
                <w:b w:val="0"/>
                <w:bCs/>
                <w:i/>
                <w:iCs/>
                <w:color w:val="auto"/>
                <w:szCs w:val="24"/>
              </w:rPr>
              <w:t xml:space="preserve">E. coli </w:t>
            </w:r>
          </w:p>
          <w:p>
            <w:pPr>
              <w:spacing w:after="0"/>
              <w:jc w:val="both"/>
              <w:rPr>
                <w:b/>
                <w:bCs/>
                <w:color w:val="auto"/>
                <w:szCs w:val="24"/>
              </w:rPr>
            </w:pPr>
          </w:p>
        </w:tc>
        <w:tc>
          <w:tcPr>
            <w:tcW w:w="1854" w:type="dxa"/>
          </w:tcPr>
          <w:p>
            <w:pPr>
              <w:spacing w:after="0"/>
              <w:jc w:val="both"/>
              <w:rPr>
                <w:color w:val="auto"/>
                <w:szCs w:val="24"/>
              </w:rPr>
            </w:pPr>
            <w:r>
              <w:rPr>
                <w:color w:val="auto"/>
                <w:szCs w:val="24"/>
              </w:rPr>
              <w:t>100</w:t>
            </w:r>
          </w:p>
        </w:tc>
        <w:tc>
          <w:tcPr>
            <w:tcW w:w="2194" w:type="dxa"/>
          </w:tcPr>
          <w:p>
            <w:pPr>
              <w:spacing w:after="0"/>
              <w:jc w:val="both"/>
              <w:rPr>
                <w:color w:val="auto"/>
                <w:szCs w:val="24"/>
              </w:rPr>
            </w:pPr>
            <w:r>
              <w:rPr>
                <w:rFonts w:eastAsia="SimSun"/>
                <w:color w:val="auto"/>
                <w:szCs w:val="24"/>
              </w:rPr>
              <w:t xml:space="preserve">8.0± 3.00 </w:t>
            </w:r>
          </w:p>
        </w:tc>
        <w:tc>
          <w:tcPr>
            <w:tcW w:w="1882" w:type="dxa"/>
          </w:tcPr>
          <w:p>
            <w:pPr>
              <w:spacing w:after="0"/>
              <w:jc w:val="both"/>
              <w:rPr>
                <w:color w:val="auto"/>
                <w:szCs w:val="24"/>
              </w:rPr>
            </w:pPr>
            <w:r>
              <w:rPr>
                <w:rFonts w:eastAsia="SimSun"/>
                <w:color w:val="auto"/>
                <w:szCs w:val="24"/>
              </w:rPr>
              <w:t xml:space="preserve">7.33± 2.517 </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continue"/>
            <w:tcBorders>
              <w:left w:val="single" w:color="auto" w:sz="4" w:space="0"/>
            </w:tcBorders>
          </w:tcPr>
          <w:p>
            <w:pPr>
              <w:spacing w:after="0"/>
              <w:jc w:val="both"/>
              <w:rPr>
                <w:b/>
                <w:bCs/>
                <w:i/>
                <w:iCs/>
                <w:color w:val="auto"/>
                <w:szCs w:val="24"/>
              </w:rPr>
            </w:pPr>
          </w:p>
        </w:tc>
        <w:tc>
          <w:tcPr>
            <w:tcW w:w="1854" w:type="dxa"/>
          </w:tcPr>
          <w:p>
            <w:pPr>
              <w:spacing w:after="0"/>
              <w:jc w:val="both"/>
              <w:rPr>
                <w:color w:val="auto"/>
                <w:szCs w:val="24"/>
              </w:rPr>
            </w:pPr>
            <w:r>
              <w:rPr>
                <w:color w:val="auto"/>
                <w:szCs w:val="24"/>
              </w:rPr>
              <w:t>75</w:t>
            </w:r>
          </w:p>
        </w:tc>
        <w:tc>
          <w:tcPr>
            <w:tcW w:w="2194" w:type="dxa"/>
          </w:tcPr>
          <w:p>
            <w:pPr>
              <w:spacing w:after="0"/>
              <w:jc w:val="both"/>
              <w:rPr>
                <w:color w:val="auto"/>
                <w:szCs w:val="24"/>
              </w:rPr>
            </w:pPr>
            <w:r>
              <w:rPr>
                <w:rFonts w:eastAsia="SimSun"/>
                <w:color w:val="auto"/>
                <w:szCs w:val="24"/>
              </w:rPr>
              <w:t>4.00 ± 4.000</w:t>
            </w:r>
          </w:p>
        </w:tc>
        <w:tc>
          <w:tcPr>
            <w:tcW w:w="1882" w:type="dxa"/>
          </w:tcPr>
          <w:p>
            <w:pPr>
              <w:spacing w:after="0"/>
              <w:jc w:val="both"/>
              <w:rPr>
                <w:color w:val="auto"/>
                <w:szCs w:val="24"/>
              </w:rPr>
            </w:pPr>
            <w:r>
              <w:rPr>
                <w:rFonts w:eastAsia="SimSun"/>
                <w:color w:val="auto"/>
                <w:szCs w:val="24"/>
              </w:rPr>
              <w:t xml:space="preserve">3.33 ± 3.055 </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continue"/>
            <w:tcBorders>
              <w:left w:val="single" w:color="auto" w:sz="4" w:space="0"/>
            </w:tcBorders>
          </w:tcPr>
          <w:p>
            <w:pPr>
              <w:spacing w:after="0"/>
              <w:jc w:val="both"/>
              <w:rPr>
                <w:b/>
                <w:bCs/>
                <w:i/>
                <w:iCs/>
                <w:color w:val="auto"/>
                <w:szCs w:val="24"/>
              </w:rPr>
            </w:pPr>
          </w:p>
        </w:tc>
        <w:tc>
          <w:tcPr>
            <w:tcW w:w="1854" w:type="dxa"/>
          </w:tcPr>
          <w:p>
            <w:pPr>
              <w:spacing w:after="0"/>
              <w:jc w:val="both"/>
              <w:rPr>
                <w:color w:val="auto"/>
                <w:szCs w:val="24"/>
              </w:rPr>
            </w:pPr>
            <w:r>
              <w:rPr>
                <w:color w:val="auto"/>
                <w:szCs w:val="24"/>
              </w:rPr>
              <w:t>50</w:t>
            </w:r>
          </w:p>
        </w:tc>
        <w:tc>
          <w:tcPr>
            <w:tcW w:w="2194" w:type="dxa"/>
          </w:tcPr>
          <w:p>
            <w:pPr>
              <w:spacing w:after="0"/>
              <w:jc w:val="both"/>
              <w:rPr>
                <w:color w:val="auto"/>
                <w:szCs w:val="24"/>
              </w:rPr>
            </w:pPr>
            <w:r>
              <w:rPr>
                <w:rFonts w:eastAsia="SimSun"/>
                <w:color w:val="auto"/>
                <w:szCs w:val="24"/>
              </w:rPr>
              <w:t>00±.000</w:t>
            </w:r>
          </w:p>
        </w:tc>
        <w:tc>
          <w:tcPr>
            <w:tcW w:w="1882" w:type="dxa"/>
          </w:tcPr>
          <w:p>
            <w:pPr>
              <w:spacing w:after="0"/>
              <w:jc w:val="both"/>
              <w:rPr>
                <w:color w:val="auto"/>
                <w:szCs w:val="24"/>
              </w:rPr>
            </w:pPr>
            <w:r>
              <w:rPr>
                <w:rFonts w:eastAsia="SimSun"/>
                <w:color w:val="auto"/>
                <w:szCs w:val="24"/>
              </w:rPr>
              <w:t xml:space="preserve">00±.000 </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continue"/>
            <w:tcBorders>
              <w:left w:val="single" w:color="auto" w:sz="4" w:space="0"/>
            </w:tcBorders>
          </w:tcPr>
          <w:p>
            <w:pPr>
              <w:spacing w:after="0"/>
              <w:jc w:val="both"/>
              <w:rPr>
                <w:b/>
                <w:bCs/>
                <w:i/>
                <w:iCs/>
                <w:color w:val="auto"/>
                <w:szCs w:val="24"/>
              </w:rPr>
            </w:pPr>
          </w:p>
        </w:tc>
        <w:tc>
          <w:tcPr>
            <w:tcW w:w="1854" w:type="dxa"/>
          </w:tcPr>
          <w:p>
            <w:pPr>
              <w:spacing w:after="0"/>
              <w:jc w:val="both"/>
              <w:rPr>
                <w:color w:val="auto"/>
                <w:szCs w:val="24"/>
              </w:rPr>
            </w:pPr>
            <w:r>
              <w:rPr>
                <w:color w:val="auto"/>
                <w:szCs w:val="24"/>
              </w:rPr>
              <w:t>25</w:t>
            </w:r>
          </w:p>
        </w:tc>
        <w:tc>
          <w:tcPr>
            <w:tcW w:w="2194" w:type="dxa"/>
          </w:tcPr>
          <w:p>
            <w:pPr>
              <w:spacing w:after="0"/>
              <w:jc w:val="both"/>
              <w:rPr>
                <w:color w:val="auto"/>
                <w:szCs w:val="24"/>
              </w:rPr>
            </w:pPr>
            <w:r>
              <w:rPr>
                <w:rFonts w:eastAsia="SimSun"/>
                <w:color w:val="auto"/>
                <w:szCs w:val="24"/>
              </w:rPr>
              <w:t>00±.000</w:t>
            </w:r>
          </w:p>
        </w:tc>
        <w:tc>
          <w:tcPr>
            <w:tcW w:w="1882" w:type="dxa"/>
          </w:tcPr>
          <w:p>
            <w:pPr>
              <w:spacing w:after="0"/>
              <w:jc w:val="both"/>
              <w:rPr>
                <w:color w:val="auto"/>
                <w:szCs w:val="24"/>
              </w:rPr>
            </w:pPr>
            <w:r>
              <w:rPr>
                <w:rFonts w:eastAsia="SimSun"/>
                <w:color w:val="auto"/>
                <w:szCs w:val="24"/>
              </w:rPr>
              <w:t xml:space="preserve">00±.000 </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restart"/>
            <w:tcBorders>
              <w:left w:val="single" w:color="auto" w:sz="4" w:space="0"/>
            </w:tcBorders>
          </w:tcPr>
          <w:p>
            <w:pPr>
              <w:spacing w:after="0"/>
              <w:jc w:val="both"/>
              <w:rPr>
                <w:b/>
                <w:bCs/>
                <w:color w:val="auto"/>
                <w:szCs w:val="24"/>
              </w:rPr>
            </w:pPr>
            <w:r>
              <w:rPr>
                <w:b w:val="0"/>
                <w:bCs/>
                <w:i/>
                <w:iCs/>
                <w:color w:val="auto"/>
                <w:szCs w:val="24"/>
              </w:rPr>
              <w:t xml:space="preserve">K. pneumonia </w:t>
            </w:r>
          </w:p>
        </w:tc>
        <w:tc>
          <w:tcPr>
            <w:tcW w:w="1854" w:type="dxa"/>
          </w:tcPr>
          <w:p>
            <w:pPr>
              <w:spacing w:after="0"/>
              <w:jc w:val="both"/>
              <w:rPr>
                <w:color w:val="auto"/>
                <w:szCs w:val="24"/>
              </w:rPr>
            </w:pPr>
            <w:r>
              <w:rPr>
                <w:color w:val="auto"/>
                <w:szCs w:val="24"/>
              </w:rPr>
              <w:t>100</w:t>
            </w:r>
          </w:p>
        </w:tc>
        <w:tc>
          <w:tcPr>
            <w:tcW w:w="2194" w:type="dxa"/>
          </w:tcPr>
          <w:p>
            <w:pPr>
              <w:spacing w:after="0"/>
              <w:jc w:val="both"/>
              <w:rPr>
                <w:color w:val="auto"/>
                <w:szCs w:val="24"/>
              </w:rPr>
            </w:pPr>
            <w:r>
              <w:rPr>
                <w:rFonts w:eastAsia="SimSun"/>
                <w:color w:val="auto"/>
                <w:szCs w:val="24"/>
              </w:rPr>
              <w:t xml:space="preserve">3.67±3.512 </w:t>
            </w:r>
          </w:p>
        </w:tc>
        <w:tc>
          <w:tcPr>
            <w:tcW w:w="1882" w:type="dxa"/>
          </w:tcPr>
          <w:p>
            <w:pPr>
              <w:spacing w:after="0"/>
              <w:jc w:val="both"/>
              <w:rPr>
                <w:color w:val="auto"/>
                <w:szCs w:val="24"/>
              </w:rPr>
            </w:pPr>
            <w:r>
              <w:rPr>
                <w:rFonts w:eastAsia="SimSun"/>
                <w:color w:val="auto"/>
                <w:szCs w:val="24"/>
              </w:rPr>
              <w:t xml:space="preserve">1.67 ± 2.887 </w:t>
            </w:r>
          </w:p>
        </w:tc>
        <w:tc>
          <w:tcPr>
            <w:tcW w:w="1881" w:type="dxa"/>
            <w:vMerge w:val="restart"/>
            <w:tcBorders>
              <w:right w:val="single" w:color="auto" w:sz="4" w:space="0"/>
            </w:tcBorders>
          </w:tcPr>
          <w:p>
            <w:pPr>
              <w:spacing w:after="0"/>
              <w:jc w:val="both"/>
              <w:rPr>
                <w:rFonts w:eastAsia="SimSun"/>
                <w:color w:val="auto"/>
                <w:szCs w:val="24"/>
              </w:rPr>
            </w:pPr>
            <w:r>
              <w:rPr>
                <w:rFonts w:eastAsia="SimSun"/>
                <w:color w:val="auto"/>
                <w:szCs w:val="24"/>
              </w:rPr>
              <w:t>17.7±1.5</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continue"/>
            <w:tcBorders>
              <w:left w:val="single" w:color="auto" w:sz="4" w:space="0"/>
            </w:tcBorders>
          </w:tcPr>
          <w:p>
            <w:pPr>
              <w:spacing w:after="0"/>
              <w:jc w:val="both"/>
              <w:rPr>
                <w:b/>
                <w:bCs/>
                <w:i/>
                <w:iCs/>
                <w:color w:val="auto"/>
                <w:szCs w:val="24"/>
              </w:rPr>
            </w:pPr>
          </w:p>
        </w:tc>
        <w:tc>
          <w:tcPr>
            <w:tcW w:w="1854" w:type="dxa"/>
          </w:tcPr>
          <w:p>
            <w:pPr>
              <w:spacing w:after="0"/>
              <w:jc w:val="both"/>
              <w:rPr>
                <w:color w:val="auto"/>
                <w:szCs w:val="24"/>
              </w:rPr>
            </w:pPr>
            <w:r>
              <w:rPr>
                <w:color w:val="auto"/>
                <w:szCs w:val="24"/>
              </w:rPr>
              <w:t>75</w:t>
            </w:r>
          </w:p>
        </w:tc>
        <w:tc>
          <w:tcPr>
            <w:tcW w:w="2194" w:type="dxa"/>
          </w:tcPr>
          <w:p>
            <w:pPr>
              <w:spacing w:after="0"/>
              <w:jc w:val="both"/>
              <w:rPr>
                <w:color w:val="auto"/>
                <w:szCs w:val="24"/>
              </w:rPr>
            </w:pPr>
            <w:r>
              <w:rPr>
                <w:rFonts w:eastAsia="SimSun"/>
                <w:color w:val="auto"/>
                <w:szCs w:val="24"/>
              </w:rPr>
              <w:t xml:space="preserve">1.00±1.732 </w:t>
            </w:r>
          </w:p>
        </w:tc>
        <w:tc>
          <w:tcPr>
            <w:tcW w:w="1882" w:type="dxa"/>
          </w:tcPr>
          <w:p>
            <w:pPr>
              <w:spacing w:after="0"/>
              <w:jc w:val="both"/>
              <w:rPr>
                <w:color w:val="auto"/>
                <w:szCs w:val="24"/>
              </w:rPr>
            </w:pPr>
            <w:r>
              <w:rPr>
                <w:rFonts w:eastAsia="SimSun"/>
                <w:color w:val="auto"/>
                <w:szCs w:val="24"/>
              </w:rPr>
              <w:t xml:space="preserve">00±.000 </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continue"/>
            <w:tcBorders>
              <w:left w:val="single" w:color="auto" w:sz="4" w:space="0"/>
            </w:tcBorders>
          </w:tcPr>
          <w:p>
            <w:pPr>
              <w:spacing w:after="0"/>
              <w:jc w:val="both"/>
              <w:rPr>
                <w:b/>
                <w:bCs/>
                <w:i/>
                <w:iCs/>
                <w:color w:val="auto"/>
                <w:szCs w:val="24"/>
              </w:rPr>
            </w:pPr>
          </w:p>
        </w:tc>
        <w:tc>
          <w:tcPr>
            <w:tcW w:w="1854" w:type="dxa"/>
          </w:tcPr>
          <w:p>
            <w:pPr>
              <w:spacing w:after="0"/>
              <w:jc w:val="both"/>
              <w:rPr>
                <w:color w:val="auto"/>
                <w:szCs w:val="24"/>
              </w:rPr>
            </w:pPr>
            <w:r>
              <w:rPr>
                <w:color w:val="auto"/>
                <w:szCs w:val="24"/>
              </w:rPr>
              <w:t>50</w:t>
            </w:r>
          </w:p>
        </w:tc>
        <w:tc>
          <w:tcPr>
            <w:tcW w:w="2194" w:type="dxa"/>
          </w:tcPr>
          <w:p>
            <w:pPr>
              <w:spacing w:after="0"/>
              <w:jc w:val="both"/>
              <w:rPr>
                <w:color w:val="auto"/>
                <w:szCs w:val="24"/>
              </w:rPr>
            </w:pPr>
            <w:r>
              <w:rPr>
                <w:rFonts w:eastAsia="SimSun"/>
                <w:color w:val="auto"/>
                <w:szCs w:val="24"/>
              </w:rPr>
              <w:t xml:space="preserve">00±.000 </w:t>
            </w:r>
          </w:p>
        </w:tc>
        <w:tc>
          <w:tcPr>
            <w:tcW w:w="1882" w:type="dxa"/>
          </w:tcPr>
          <w:p>
            <w:pPr>
              <w:spacing w:after="0"/>
              <w:jc w:val="both"/>
              <w:rPr>
                <w:color w:val="auto"/>
                <w:szCs w:val="24"/>
              </w:rPr>
            </w:pPr>
            <w:r>
              <w:rPr>
                <w:rFonts w:eastAsia="SimSun"/>
                <w:color w:val="auto"/>
                <w:szCs w:val="24"/>
              </w:rPr>
              <w:t>00±.000</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continue"/>
            <w:tcBorders>
              <w:left w:val="single" w:color="auto" w:sz="4" w:space="0"/>
            </w:tcBorders>
          </w:tcPr>
          <w:p>
            <w:pPr>
              <w:spacing w:after="0"/>
              <w:jc w:val="both"/>
              <w:rPr>
                <w:b/>
                <w:bCs/>
                <w:i/>
                <w:iCs/>
                <w:color w:val="auto"/>
                <w:szCs w:val="24"/>
              </w:rPr>
            </w:pPr>
          </w:p>
        </w:tc>
        <w:tc>
          <w:tcPr>
            <w:tcW w:w="1854" w:type="dxa"/>
          </w:tcPr>
          <w:p>
            <w:pPr>
              <w:spacing w:after="0"/>
              <w:jc w:val="both"/>
              <w:rPr>
                <w:color w:val="auto"/>
                <w:szCs w:val="24"/>
              </w:rPr>
            </w:pPr>
            <w:r>
              <w:rPr>
                <w:color w:val="auto"/>
                <w:szCs w:val="24"/>
              </w:rPr>
              <w:t>25</w:t>
            </w:r>
          </w:p>
        </w:tc>
        <w:tc>
          <w:tcPr>
            <w:tcW w:w="2194" w:type="dxa"/>
          </w:tcPr>
          <w:p>
            <w:pPr>
              <w:spacing w:after="0"/>
              <w:jc w:val="both"/>
              <w:rPr>
                <w:color w:val="auto"/>
                <w:szCs w:val="24"/>
              </w:rPr>
            </w:pPr>
            <w:r>
              <w:rPr>
                <w:rFonts w:eastAsia="SimSun"/>
                <w:color w:val="auto"/>
                <w:szCs w:val="24"/>
              </w:rPr>
              <w:t>00±.000</w:t>
            </w:r>
          </w:p>
        </w:tc>
        <w:tc>
          <w:tcPr>
            <w:tcW w:w="1882" w:type="dxa"/>
          </w:tcPr>
          <w:p>
            <w:pPr>
              <w:spacing w:after="0"/>
              <w:jc w:val="both"/>
              <w:rPr>
                <w:color w:val="auto"/>
                <w:szCs w:val="24"/>
              </w:rPr>
            </w:pPr>
            <w:r>
              <w:rPr>
                <w:rFonts w:eastAsia="SimSun"/>
                <w:color w:val="auto"/>
                <w:szCs w:val="24"/>
              </w:rPr>
              <w:t xml:space="preserve">00±.000 </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restart"/>
            <w:tcBorders>
              <w:left w:val="single" w:color="auto" w:sz="4" w:space="0"/>
            </w:tcBorders>
          </w:tcPr>
          <w:p>
            <w:pPr>
              <w:spacing w:after="0"/>
              <w:jc w:val="both"/>
              <w:rPr>
                <w:b/>
                <w:bCs/>
                <w:i/>
                <w:iCs/>
                <w:color w:val="auto"/>
                <w:szCs w:val="24"/>
              </w:rPr>
            </w:pPr>
            <w:r>
              <w:rPr>
                <w:b w:val="0"/>
                <w:bCs/>
                <w:i/>
                <w:iCs/>
                <w:color w:val="auto"/>
                <w:szCs w:val="24"/>
              </w:rPr>
              <w:t>S. aurues</w:t>
            </w:r>
          </w:p>
          <w:p>
            <w:pPr>
              <w:spacing w:after="0"/>
              <w:jc w:val="both"/>
              <w:rPr>
                <w:b/>
                <w:bCs/>
                <w:i/>
                <w:iCs/>
                <w:color w:val="auto"/>
                <w:szCs w:val="24"/>
              </w:rPr>
            </w:pPr>
          </w:p>
          <w:p>
            <w:pPr>
              <w:spacing w:after="0"/>
              <w:jc w:val="both"/>
              <w:rPr>
                <w:b/>
                <w:bCs/>
                <w:i/>
                <w:iCs/>
                <w:color w:val="auto"/>
                <w:szCs w:val="24"/>
              </w:rPr>
            </w:pPr>
          </w:p>
          <w:p>
            <w:pPr>
              <w:spacing w:after="0"/>
              <w:jc w:val="both"/>
              <w:rPr>
                <w:b/>
                <w:bCs/>
                <w:color w:val="auto"/>
                <w:szCs w:val="24"/>
              </w:rPr>
            </w:pPr>
          </w:p>
        </w:tc>
        <w:tc>
          <w:tcPr>
            <w:tcW w:w="1854" w:type="dxa"/>
          </w:tcPr>
          <w:p>
            <w:pPr>
              <w:spacing w:after="0"/>
              <w:jc w:val="both"/>
              <w:rPr>
                <w:color w:val="auto"/>
                <w:szCs w:val="24"/>
              </w:rPr>
            </w:pPr>
            <w:r>
              <w:rPr>
                <w:color w:val="auto"/>
                <w:szCs w:val="24"/>
              </w:rPr>
              <w:t>100</w:t>
            </w:r>
          </w:p>
        </w:tc>
        <w:tc>
          <w:tcPr>
            <w:tcW w:w="2194" w:type="dxa"/>
          </w:tcPr>
          <w:p>
            <w:pPr>
              <w:spacing w:after="0"/>
              <w:jc w:val="both"/>
              <w:rPr>
                <w:color w:val="auto"/>
                <w:szCs w:val="24"/>
              </w:rPr>
            </w:pPr>
            <w:r>
              <w:rPr>
                <w:rFonts w:eastAsia="SimSun"/>
                <w:color w:val="auto"/>
                <w:szCs w:val="24"/>
              </w:rPr>
              <w:t>9.33 ±3.512</w:t>
            </w:r>
          </w:p>
        </w:tc>
        <w:tc>
          <w:tcPr>
            <w:tcW w:w="1882" w:type="dxa"/>
          </w:tcPr>
          <w:p>
            <w:pPr>
              <w:spacing w:after="0"/>
              <w:jc w:val="both"/>
              <w:rPr>
                <w:color w:val="auto"/>
                <w:szCs w:val="24"/>
              </w:rPr>
            </w:pPr>
            <w:r>
              <w:rPr>
                <w:rFonts w:eastAsia="SimSun"/>
                <w:color w:val="auto"/>
                <w:szCs w:val="24"/>
              </w:rPr>
              <w:t xml:space="preserve">7.33 ± 7.024 </w:t>
            </w:r>
          </w:p>
        </w:tc>
        <w:tc>
          <w:tcPr>
            <w:tcW w:w="1881" w:type="dxa"/>
            <w:vMerge w:val="restart"/>
            <w:tcBorders>
              <w:right w:val="single" w:color="auto" w:sz="4" w:space="0"/>
            </w:tcBorders>
          </w:tcPr>
          <w:p>
            <w:pPr>
              <w:spacing w:after="0"/>
              <w:jc w:val="both"/>
              <w:rPr>
                <w:rFonts w:eastAsia="SimSun"/>
                <w:color w:val="auto"/>
                <w:szCs w:val="24"/>
              </w:rPr>
            </w:pPr>
            <w:r>
              <w:rPr>
                <w:rFonts w:eastAsia="SimSun"/>
                <w:color w:val="auto"/>
                <w:szCs w:val="24"/>
              </w:rPr>
              <w:t xml:space="preserve">29±2 </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continue"/>
            <w:tcBorders>
              <w:left w:val="single" w:color="auto" w:sz="4" w:space="0"/>
            </w:tcBorders>
          </w:tcPr>
          <w:p>
            <w:pPr>
              <w:spacing w:after="0"/>
              <w:jc w:val="both"/>
              <w:rPr>
                <w:b/>
                <w:bCs/>
                <w:i/>
                <w:iCs/>
                <w:color w:val="auto"/>
                <w:szCs w:val="24"/>
              </w:rPr>
            </w:pPr>
          </w:p>
        </w:tc>
        <w:tc>
          <w:tcPr>
            <w:tcW w:w="1854" w:type="dxa"/>
          </w:tcPr>
          <w:p>
            <w:pPr>
              <w:spacing w:after="0"/>
              <w:jc w:val="both"/>
              <w:rPr>
                <w:color w:val="auto"/>
                <w:szCs w:val="24"/>
              </w:rPr>
            </w:pPr>
            <w:r>
              <w:rPr>
                <w:color w:val="auto"/>
                <w:szCs w:val="24"/>
              </w:rPr>
              <w:t>75</w:t>
            </w:r>
          </w:p>
        </w:tc>
        <w:tc>
          <w:tcPr>
            <w:tcW w:w="2194" w:type="dxa"/>
          </w:tcPr>
          <w:p>
            <w:pPr>
              <w:spacing w:after="0"/>
              <w:jc w:val="both"/>
              <w:rPr>
                <w:color w:val="auto"/>
                <w:szCs w:val="24"/>
              </w:rPr>
            </w:pPr>
            <w:r>
              <w:rPr>
                <w:rFonts w:eastAsia="SimSun"/>
                <w:color w:val="auto"/>
                <w:szCs w:val="24"/>
              </w:rPr>
              <w:t xml:space="preserve">5.33 ± 3.215 </w:t>
            </w:r>
          </w:p>
        </w:tc>
        <w:tc>
          <w:tcPr>
            <w:tcW w:w="1882" w:type="dxa"/>
          </w:tcPr>
          <w:p>
            <w:pPr>
              <w:spacing w:after="0"/>
              <w:jc w:val="both"/>
              <w:rPr>
                <w:color w:val="auto"/>
                <w:szCs w:val="24"/>
              </w:rPr>
            </w:pPr>
            <w:r>
              <w:rPr>
                <w:rFonts w:eastAsia="SimSun"/>
                <w:color w:val="auto"/>
                <w:szCs w:val="24"/>
              </w:rPr>
              <w:t xml:space="preserve">4.00 ± 3.606 </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continue"/>
            <w:tcBorders>
              <w:left w:val="single" w:color="auto" w:sz="4" w:space="0"/>
            </w:tcBorders>
          </w:tcPr>
          <w:p>
            <w:pPr>
              <w:spacing w:after="0"/>
              <w:jc w:val="both"/>
              <w:rPr>
                <w:b/>
                <w:bCs/>
                <w:i/>
                <w:iCs/>
                <w:color w:val="auto"/>
                <w:szCs w:val="24"/>
              </w:rPr>
            </w:pPr>
          </w:p>
        </w:tc>
        <w:tc>
          <w:tcPr>
            <w:tcW w:w="1854" w:type="dxa"/>
          </w:tcPr>
          <w:p>
            <w:pPr>
              <w:spacing w:after="0"/>
              <w:jc w:val="both"/>
              <w:rPr>
                <w:color w:val="auto"/>
                <w:szCs w:val="24"/>
              </w:rPr>
            </w:pPr>
            <w:r>
              <w:rPr>
                <w:color w:val="auto"/>
                <w:szCs w:val="24"/>
              </w:rPr>
              <w:t>50</w:t>
            </w:r>
          </w:p>
        </w:tc>
        <w:tc>
          <w:tcPr>
            <w:tcW w:w="2194" w:type="dxa"/>
          </w:tcPr>
          <w:p>
            <w:pPr>
              <w:spacing w:after="0"/>
              <w:jc w:val="both"/>
              <w:rPr>
                <w:color w:val="auto"/>
                <w:szCs w:val="24"/>
              </w:rPr>
            </w:pPr>
            <w:r>
              <w:rPr>
                <w:rFonts w:eastAsia="SimSun"/>
                <w:color w:val="auto"/>
                <w:szCs w:val="24"/>
              </w:rPr>
              <w:t xml:space="preserve">1.67 ± 2.887 </w:t>
            </w:r>
          </w:p>
        </w:tc>
        <w:tc>
          <w:tcPr>
            <w:tcW w:w="1882" w:type="dxa"/>
          </w:tcPr>
          <w:p>
            <w:pPr>
              <w:spacing w:after="0"/>
              <w:jc w:val="both"/>
              <w:rPr>
                <w:color w:val="auto"/>
                <w:szCs w:val="24"/>
              </w:rPr>
            </w:pPr>
            <w:r>
              <w:rPr>
                <w:rFonts w:eastAsia="SimSun"/>
                <w:color w:val="auto"/>
                <w:szCs w:val="24"/>
              </w:rPr>
              <w:t>00±.000</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continue"/>
            <w:tcBorders>
              <w:left w:val="single" w:color="auto" w:sz="4" w:space="0"/>
            </w:tcBorders>
          </w:tcPr>
          <w:p>
            <w:pPr>
              <w:spacing w:after="0"/>
              <w:jc w:val="both"/>
              <w:rPr>
                <w:b/>
                <w:bCs/>
                <w:i/>
                <w:iCs/>
                <w:color w:val="auto"/>
                <w:szCs w:val="24"/>
              </w:rPr>
            </w:pPr>
          </w:p>
        </w:tc>
        <w:tc>
          <w:tcPr>
            <w:tcW w:w="1854" w:type="dxa"/>
          </w:tcPr>
          <w:p>
            <w:pPr>
              <w:spacing w:after="0"/>
              <w:jc w:val="both"/>
              <w:rPr>
                <w:color w:val="auto"/>
                <w:szCs w:val="24"/>
              </w:rPr>
            </w:pPr>
            <w:r>
              <w:rPr>
                <w:color w:val="auto"/>
                <w:szCs w:val="24"/>
              </w:rPr>
              <w:t>25</w:t>
            </w:r>
          </w:p>
        </w:tc>
        <w:tc>
          <w:tcPr>
            <w:tcW w:w="2194" w:type="dxa"/>
          </w:tcPr>
          <w:p>
            <w:pPr>
              <w:spacing w:after="0"/>
              <w:jc w:val="both"/>
              <w:rPr>
                <w:color w:val="auto"/>
                <w:szCs w:val="24"/>
              </w:rPr>
            </w:pPr>
            <w:r>
              <w:rPr>
                <w:rFonts w:eastAsia="SimSun"/>
                <w:color w:val="auto"/>
                <w:szCs w:val="24"/>
              </w:rPr>
              <w:t>00±.000</w:t>
            </w:r>
          </w:p>
        </w:tc>
        <w:tc>
          <w:tcPr>
            <w:tcW w:w="1882" w:type="dxa"/>
          </w:tcPr>
          <w:p>
            <w:pPr>
              <w:spacing w:after="0"/>
              <w:jc w:val="both"/>
              <w:rPr>
                <w:color w:val="auto"/>
                <w:szCs w:val="24"/>
              </w:rPr>
            </w:pPr>
            <w:r>
              <w:rPr>
                <w:rFonts w:eastAsia="SimSun"/>
                <w:color w:val="auto"/>
                <w:szCs w:val="24"/>
              </w:rPr>
              <w:t>00±.000</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restart"/>
            <w:tcBorders>
              <w:left w:val="single" w:color="auto" w:sz="4" w:space="0"/>
            </w:tcBorders>
          </w:tcPr>
          <w:p>
            <w:pPr>
              <w:spacing w:after="0"/>
              <w:jc w:val="both"/>
              <w:rPr>
                <w:b/>
                <w:bCs/>
                <w:i/>
                <w:iCs/>
                <w:color w:val="auto"/>
                <w:szCs w:val="24"/>
              </w:rPr>
            </w:pPr>
            <w:r>
              <w:rPr>
                <w:b w:val="0"/>
                <w:bCs/>
                <w:i/>
                <w:iCs/>
                <w:color w:val="auto"/>
                <w:szCs w:val="24"/>
              </w:rPr>
              <w:t xml:space="preserve">S. pyogenes </w:t>
            </w:r>
          </w:p>
        </w:tc>
        <w:tc>
          <w:tcPr>
            <w:tcW w:w="1854" w:type="dxa"/>
          </w:tcPr>
          <w:p>
            <w:pPr>
              <w:spacing w:after="0"/>
              <w:jc w:val="both"/>
              <w:rPr>
                <w:color w:val="auto"/>
                <w:szCs w:val="24"/>
              </w:rPr>
            </w:pPr>
            <w:r>
              <w:rPr>
                <w:color w:val="auto"/>
                <w:szCs w:val="24"/>
              </w:rPr>
              <w:t>100</w:t>
            </w:r>
          </w:p>
        </w:tc>
        <w:tc>
          <w:tcPr>
            <w:tcW w:w="2194" w:type="dxa"/>
          </w:tcPr>
          <w:p>
            <w:pPr>
              <w:spacing w:after="0"/>
              <w:jc w:val="both"/>
              <w:rPr>
                <w:color w:val="auto"/>
                <w:szCs w:val="24"/>
              </w:rPr>
            </w:pPr>
            <w:r>
              <w:rPr>
                <w:rFonts w:eastAsia="SimSun"/>
                <w:color w:val="auto"/>
                <w:szCs w:val="24"/>
              </w:rPr>
              <w:t xml:space="preserve">3.67 ± 3.512 </w:t>
            </w:r>
          </w:p>
        </w:tc>
        <w:tc>
          <w:tcPr>
            <w:tcW w:w="1882" w:type="dxa"/>
          </w:tcPr>
          <w:p>
            <w:pPr>
              <w:spacing w:after="0"/>
              <w:jc w:val="both"/>
              <w:rPr>
                <w:color w:val="auto"/>
                <w:szCs w:val="24"/>
              </w:rPr>
            </w:pPr>
            <w:r>
              <w:rPr>
                <w:rFonts w:eastAsia="SimSun"/>
                <w:color w:val="auto"/>
                <w:szCs w:val="24"/>
              </w:rPr>
              <w:t xml:space="preserve">4.33 ± 1.528 </w:t>
            </w:r>
          </w:p>
        </w:tc>
        <w:tc>
          <w:tcPr>
            <w:tcW w:w="1881" w:type="dxa"/>
            <w:vMerge w:val="restart"/>
            <w:tcBorders>
              <w:right w:val="single" w:color="auto" w:sz="4" w:space="0"/>
            </w:tcBorders>
          </w:tcPr>
          <w:p>
            <w:pPr>
              <w:spacing w:after="0"/>
              <w:jc w:val="both"/>
              <w:rPr>
                <w:rFonts w:eastAsia="SimSun"/>
                <w:color w:val="auto"/>
                <w:szCs w:val="24"/>
              </w:rPr>
            </w:pPr>
            <w:r>
              <w:rPr>
                <w:rFonts w:eastAsia="SimSun"/>
                <w:color w:val="auto"/>
                <w:szCs w:val="24"/>
              </w:rPr>
              <w:t xml:space="preserve">19.3±1.5 </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2" w:hRule="atLeast"/>
        </w:trPr>
        <w:tc>
          <w:tcPr>
            <w:tcW w:w="1909" w:type="dxa"/>
            <w:vMerge w:val="continue"/>
            <w:tcBorders>
              <w:left w:val="single" w:color="auto" w:sz="4" w:space="0"/>
            </w:tcBorders>
          </w:tcPr>
          <w:p>
            <w:pPr>
              <w:spacing w:after="0"/>
              <w:jc w:val="both"/>
              <w:rPr>
                <w:b/>
                <w:bCs/>
                <w:i/>
                <w:iCs/>
                <w:color w:val="auto"/>
                <w:szCs w:val="24"/>
              </w:rPr>
            </w:pPr>
          </w:p>
        </w:tc>
        <w:tc>
          <w:tcPr>
            <w:tcW w:w="1854" w:type="dxa"/>
          </w:tcPr>
          <w:p>
            <w:pPr>
              <w:spacing w:after="0"/>
              <w:jc w:val="both"/>
              <w:rPr>
                <w:color w:val="auto"/>
                <w:szCs w:val="24"/>
              </w:rPr>
            </w:pPr>
            <w:r>
              <w:rPr>
                <w:color w:val="auto"/>
                <w:szCs w:val="24"/>
              </w:rPr>
              <w:t>75</w:t>
            </w:r>
          </w:p>
        </w:tc>
        <w:tc>
          <w:tcPr>
            <w:tcW w:w="2194" w:type="dxa"/>
          </w:tcPr>
          <w:p>
            <w:pPr>
              <w:spacing w:after="0"/>
              <w:jc w:val="both"/>
              <w:rPr>
                <w:color w:val="auto"/>
                <w:szCs w:val="24"/>
              </w:rPr>
            </w:pPr>
            <w:r>
              <w:rPr>
                <w:rFonts w:eastAsia="SimSun"/>
                <w:color w:val="auto"/>
                <w:szCs w:val="24"/>
              </w:rPr>
              <w:t>00±.000</w:t>
            </w:r>
          </w:p>
        </w:tc>
        <w:tc>
          <w:tcPr>
            <w:tcW w:w="1882" w:type="dxa"/>
          </w:tcPr>
          <w:p>
            <w:pPr>
              <w:spacing w:after="0"/>
              <w:jc w:val="both"/>
              <w:rPr>
                <w:color w:val="auto"/>
                <w:szCs w:val="24"/>
              </w:rPr>
            </w:pPr>
            <w:r>
              <w:rPr>
                <w:rFonts w:eastAsia="SimSun"/>
                <w:color w:val="auto"/>
                <w:szCs w:val="24"/>
              </w:rPr>
              <w:t>1.</w:t>
            </w:r>
            <w:r>
              <w:rPr>
                <w:color w:val="auto"/>
                <w:szCs w:val="24"/>
              </w:rPr>
              <w:t xml:space="preserve">00 ± </w:t>
            </w:r>
            <w:r>
              <w:rPr>
                <w:rFonts w:eastAsia="SimSun"/>
                <w:color w:val="auto"/>
                <w:szCs w:val="24"/>
              </w:rPr>
              <w:t xml:space="preserve">1.732 </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9" w:hRule="atLeast"/>
        </w:trPr>
        <w:tc>
          <w:tcPr>
            <w:tcW w:w="1909" w:type="dxa"/>
            <w:vMerge w:val="continue"/>
            <w:tcBorders>
              <w:left w:val="single" w:color="auto" w:sz="4" w:space="0"/>
            </w:tcBorders>
          </w:tcPr>
          <w:p>
            <w:pPr>
              <w:spacing w:after="0"/>
              <w:jc w:val="both"/>
              <w:rPr>
                <w:b/>
                <w:bCs/>
                <w:i/>
                <w:iCs/>
                <w:color w:val="auto"/>
                <w:szCs w:val="24"/>
              </w:rPr>
            </w:pPr>
          </w:p>
        </w:tc>
        <w:tc>
          <w:tcPr>
            <w:tcW w:w="1854" w:type="dxa"/>
          </w:tcPr>
          <w:p>
            <w:pPr>
              <w:spacing w:after="0"/>
              <w:jc w:val="both"/>
              <w:rPr>
                <w:color w:val="auto"/>
                <w:szCs w:val="24"/>
              </w:rPr>
            </w:pPr>
            <w:r>
              <w:rPr>
                <w:color w:val="auto"/>
                <w:szCs w:val="24"/>
              </w:rPr>
              <w:t>50</w:t>
            </w:r>
          </w:p>
        </w:tc>
        <w:tc>
          <w:tcPr>
            <w:tcW w:w="2194" w:type="dxa"/>
          </w:tcPr>
          <w:p>
            <w:pPr>
              <w:spacing w:after="0"/>
              <w:jc w:val="both"/>
              <w:rPr>
                <w:color w:val="auto"/>
                <w:szCs w:val="24"/>
              </w:rPr>
            </w:pPr>
            <w:r>
              <w:rPr>
                <w:rFonts w:eastAsia="SimSun"/>
                <w:color w:val="auto"/>
                <w:szCs w:val="24"/>
              </w:rPr>
              <w:t>00±.000</w:t>
            </w:r>
          </w:p>
        </w:tc>
        <w:tc>
          <w:tcPr>
            <w:tcW w:w="1882" w:type="dxa"/>
          </w:tcPr>
          <w:p>
            <w:pPr>
              <w:spacing w:after="0"/>
              <w:jc w:val="both"/>
              <w:rPr>
                <w:color w:val="auto"/>
                <w:szCs w:val="24"/>
              </w:rPr>
            </w:pPr>
            <w:r>
              <w:rPr>
                <w:rFonts w:eastAsia="SimSun"/>
                <w:color w:val="auto"/>
                <w:szCs w:val="24"/>
              </w:rPr>
              <w:t>00±.000</w:t>
            </w:r>
          </w:p>
        </w:tc>
        <w:tc>
          <w:tcPr>
            <w:tcW w:w="1881" w:type="dxa"/>
            <w:vMerge w:val="continue"/>
            <w:tcBorders>
              <w:right w:val="single" w:color="auto" w:sz="4" w:space="0"/>
            </w:tcBorders>
          </w:tcPr>
          <w:p>
            <w:pPr>
              <w:spacing w:after="0"/>
              <w:jc w:val="both"/>
              <w:rPr>
                <w:rFonts w:eastAsia="SimSun"/>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3" w:hRule="atLeast"/>
        </w:trPr>
        <w:tc>
          <w:tcPr>
            <w:tcW w:w="1909" w:type="dxa"/>
            <w:vMerge w:val="continue"/>
            <w:tcBorders>
              <w:left w:val="single" w:color="auto" w:sz="4" w:space="0"/>
              <w:bottom w:val="single" w:color="auto" w:sz="4" w:space="0"/>
            </w:tcBorders>
          </w:tcPr>
          <w:p>
            <w:pPr>
              <w:spacing w:after="0"/>
              <w:jc w:val="both"/>
              <w:rPr>
                <w:b/>
                <w:bCs/>
                <w:i/>
                <w:iCs/>
                <w:color w:val="auto"/>
                <w:szCs w:val="24"/>
              </w:rPr>
            </w:pPr>
          </w:p>
        </w:tc>
        <w:tc>
          <w:tcPr>
            <w:tcW w:w="1854" w:type="dxa"/>
            <w:tcBorders>
              <w:bottom w:val="single" w:color="auto" w:sz="4" w:space="0"/>
            </w:tcBorders>
          </w:tcPr>
          <w:p>
            <w:pPr>
              <w:spacing w:after="0"/>
              <w:jc w:val="both"/>
              <w:rPr>
                <w:color w:val="auto"/>
                <w:szCs w:val="24"/>
              </w:rPr>
            </w:pPr>
            <w:r>
              <w:rPr>
                <w:color w:val="auto"/>
                <w:szCs w:val="24"/>
              </w:rPr>
              <w:t>25</w:t>
            </w:r>
          </w:p>
        </w:tc>
        <w:tc>
          <w:tcPr>
            <w:tcW w:w="2194" w:type="dxa"/>
            <w:tcBorders>
              <w:bottom w:val="single" w:color="auto" w:sz="4" w:space="0"/>
            </w:tcBorders>
          </w:tcPr>
          <w:p>
            <w:pPr>
              <w:spacing w:after="0"/>
              <w:jc w:val="both"/>
              <w:rPr>
                <w:color w:val="auto"/>
                <w:szCs w:val="24"/>
              </w:rPr>
            </w:pPr>
            <w:r>
              <w:rPr>
                <w:rFonts w:eastAsia="SimSun"/>
                <w:color w:val="auto"/>
                <w:szCs w:val="24"/>
              </w:rPr>
              <w:t>00±.000</w:t>
            </w:r>
          </w:p>
        </w:tc>
        <w:tc>
          <w:tcPr>
            <w:tcW w:w="1882" w:type="dxa"/>
            <w:tcBorders>
              <w:bottom w:val="single" w:color="auto" w:sz="4" w:space="0"/>
            </w:tcBorders>
          </w:tcPr>
          <w:p>
            <w:pPr>
              <w:spacing w:after="0"/>
              <w:jc w:val="both"/>
              <w:rPr>
                <w:color w:val="auto"/>
                <w:szCs w:val="24"/>
              </w:rPr>
            </w:pPr>
            <w:r>
              <w:rPr>
                <w:rFonts w:eastAsia="SimSun"/>
                <w:color w:val="auto"/>
                <w:szCs w:val="24"/>
              </w:rPr>
              <w:t>00±.000</w:t>
            </w:r>
          </w:p>
        </w:tc>
        <w:tc>
          <w:tcPr>
            <w:tcW w:w="1881" w:type="dxa"/>
            <w:vMerge w:val="continue"/>
            <w:tcBorders>
              <w:bottom w:val="single" w:color="auto" w:sz="4" w:space="0"/>
              <w:right w:val="single" w:color="auto" w:sz="4" w:space="0"/>
            </w:tcBorders>
          </w:tcPr>
          <w:p>
            <w:pPr>
              <w:spacing w:after="0"/>
              <w:jc w:val="both"/>
              <w:rPr>
                <w:rFonts w:eastAsia="SimSun"/>
                <w:color w:val="auto"/>
                <w:szCs w:val="24"/>
              </w:rPr>
            </w:pPr>
          </w:p>
        </w:tc>
      </w:tr>
    </w:tbl>
    <w:p>
      <w:pPr>
        <w:jc w:val="both"/>
        <w:rPr>
          <w:szCs w:val="24"/>
        </w:rPr>
      </w:pPr>
    </w:p>
    <w:p>
      <w:pPr>
        <w:jc w:val="both"/>
        <w:rPr>
          <w:szCs w:val="24"/>
        </w:rPr>
      </w:pPr>
      <w:r>
        <w:rPr>
          <w:szCs w:val="24"/>
        </w:rPr>
        <w:t xml:space="preserve">From Table 3 above the results indicated that the concentrations of the 100 mg/L of the two types of </w:t>
      </w:r>
      <w:r>
        <w:rPr>
          <w:i/>
          <w:szCs w:val="24"/>
        </w:rPr>
        <w:t>V. sinaiticum</w:t>
      </w:r>
      <w:r>
        <w:rPr>
          <w:szCs w:val="24"/>
        </w:rPr>
        <w:t xml:space="preserve"> extracts were active against </w:t>
      </w:r>
      <w:r>
        <w:rPr>
          <w:i/>
          <w:szCs w:val="24"/>
        </w:rPr>
        <w:t xml:space="preserve">Staphylococcus aureus, Escherichia coli, Klebsiella pneumonae, </w:t>
      </w:r>
      <w:r>
        <w:rPr>
          <w:szCs w:val="24"/>
        </w:rPr>
        <w:t xml:space="preserve">and </w:t>
      </w:r>
      <w:r>
        <w:rPr>
          <w:rFonts w:eastAsia="Garamond"/>
          <w:i/>
          <w:szCs w:val="24"/>
        </w:rPr>
        <w:t>Streptococcus</w:t>
      </w:r>
      <w:r>
        <w:rPr>
          <w:i/>
          <w:iCs/>
          <w:szCs w:val="24"/>
        </w:rPr>
        <w:t xml:space="preserve">. pyogenes </w:t>
      </w:r>
      <w:r>
        <w:rPr>
          <w:szCs w:val="24"/>
        </w:rPr>
        <w:t xml:space="preserve">[22- 23].The results also showed that the chloroform was the best solvent for extracting antimicrobial substances from this plant when compared to methanol. It can be suggested that </w:t>
      </w:r>
      <w:r>
        <w:rPr>
          <w:i/>
          <w:iCs/>
          <w:szCs w:val="24"/>
        </w:rPr>
        <w:t xml:space="preserve">S. aureus, E.coli, K. pneumonae, and S. pyogenes </w:t>
      </w:r>
      <w:r>
        <w:rPr>
          <w:szCs w:val="24"/>
        </w:rPr>
        <w:t xml:space="preserve">were the most resistant organisms to the concentrations of 25 and 50 mg/L of the both extracts. Maximum activity of chloroform extract was seen against </w:t>
      </w:r>
      <w:r>
        <w:rPr>
          <w:i/>
          <w:iCs/>
          <w:szCs w:val="24"/>
        </w:rPr>
        <w:t>S.aureus</w:t>
      </w:r>
      <w:r>
        <w:rPr>
          <w:szCs w:val="24"/>
        </w:rPr>
        <w:t xml:space="preserve"> at concentration of 100 mg/L and the minimum activity was seen against </w:t>
      </w:r>
      <w:r>
        <w:rPr>
          <w:i/>
          <w:iCs/>
          <w:szCs w:val="24"/>
        </w:rPr>
        <w:t xml:space="preserve">S. pyogines </w:t>
      </w:r>
      <w:r>
        <w:rPr>
          <w:iCs/>
          <w:szCs w:val="24"/>
        </w:rPr>
        <w:t>at the concentration of 75 mg/L</w:t>
      </w:r>
      <w:r>
        <w:rPr>
          <w:szCs w:val="24"/>
        </w:rPr>
        <w:t xml:space="preserve"> (Table 3). The activity of the plants shows that as concentration increases the activity also increases. As a general the result obtained was less than the inhibition zone of the standard (Gentamicin).</w:t>
      </w:r>
    </w:p>
    <w:p>
      <w:pPr>
        <w:pStyle w:val="3"/>
        <w:jc w:val="both"/>
        <w:rPr>
          <w:rFonts w:ascii="Times New Roman" w:hAnsi="Times New Roman"/>
          <w:color w:val="auto"/>
          <w:sz w:val="24"/>
          <w:szCs w:val="24"/>
        </w:rPr>
      </w:pPr>
      <w:bookmarkStart w:id="70" w:name="_Toc1185"/>
      <w:r>
        <w:rPr>
          <w:rFonts w:ascii="Times New Roman" w:hAnsi="Times New Roman"/>
          <w:color w:val="auto"/>
          <w:sz w:val="24"/>
          <w:szCs w:val="24"/>
        </w:rPr>
        <w:t>4.3 Ferric Reducing Antioxidant Power Assay</w:t>
      </w:r>
      <w:bookmarkEnd w:id="70"/>
    </w:p>
    <w:p>
      <w:pPr>
        <w:jc w:val="both"/>
        <w:rPr>
          <w:szCs w:val="24"/>
        </w:rPr>
      </w:pPr>
      <w:r>
        <w:rPr>
          <w:szCs w:val="24"/>
        </w:rPr>
        <w:t>This method measures the ability of antioxidant to reduce ferric iron. It is based on the reduction of the complex of ferric iron and 2,3,5-triphenyl-1,3,4-triaza-2-azoniacyclopenta-1,4-diene chloride (TPTZ) to the ferrous form.</w:t>
      </w:r>
    </w:p>
    <w:p>
      <w:pPr>
        <w:pStyle w:val="6"/>
        <w:jc w:val="both"/>
        <w:rPr>
          <w:rFonts w:ascii="Times New Roman" w:hAnsi="Times New Roman" w:cs="Times New Roman"/>
          <w:sz w:val="24"/>
          <w:szCs w:val="24"/>
        </w:rPr>
      </w:pPr>
      <w:r>
        <w:rPr>
          <w:rFonts w:ascii="Times New Roman" w:hAnsi="Times New Roman" w:cs="Times New Roman"/>
          <w:b/>
          <w:bCs/>
          <w:sz w:val="24"/>
          <w:szCs w:val="24"/>
        </w:rPr>
        <w:t xml:space="preserve">Table </w:t>
      </w: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SEQ Table \* ARABIC </w:instrText>
      </w:r>
      <w:r>
        <w:rPr>
          <w:rFonts w:ascii="Times New Roman" w:hAnsi="Times New Roman" w:cs="Times New Roman"/>
          <w:b/>
          <w:bCs/>
          <w:sz w:val="24"/>
          <w:szCs w:val="24"/>
        </w:rPr>
        <w:fldChar w:fldCharType="separate"/>
      </w:r>
      <w:r>
        <w:rPr>
          <w:rFonts w:ascii="Times New Roman" w:hAnsi="Times New Roman" w:cs="Times New Roman"/>
          <w:b/>
          <w:bCs/>
          <w:sz w:val="24"/>
          <w:szCs w:val="24"/>
        </w:rPr>
        <w:t>4</w:t>
      </w:r>
      <w:r>
        <w:rPr>
          <w:rFonts w:ascii="Times New Roman" w:hAnsi="Times New Roman" w:cs="Times New Roman"/>
          <w:b/>
          <w:bCs/>
          <w:sz w:val="24"/>
          <w:szCs w:val="24"/>
        </w:rPr>
        <w:fldChar w:fldCharType="end"/>
      </w:r>
      <w:bookmarkStart w:id="71" w:name="_Toc25209"/>
      <w:r>
        <w:rPr>
          <w:rFonts w:ascii="Times New Roman" w:hAnsi="Times New Roman" w:cs="Times New Roman"/>
          <w:sz w:val="24"/>
          <w:szCs w:val="24"/>
        </w:rPr>
        <w:t>: FRAP results of methanol extract</w:t>
      </w:r>
      <w:bookmarkEnd w:id="71"/>
    </w:p>
    <w:p>
      <w:pPr>
        <w:pStyle w:val="6"/>
        <w:jc w:val="both"/>
        <w:rPr>
          <w:rFonts w:ascii="Times New Roman" w:hAnsi="Times New Roman" w:cs="Times New Roman"/>
          <w:sz w:val="24"/>
          <w:szCs w:val="24"/>
        </w:rPr>
      </w:pPr>
      <w:r>
        <w:rPr>
          <w:rFonts w:ascii="Times New Roman" w:hAnsi="Times New Roman" w:cs="Times New Roman"/>
          <w:sz w:val="24"/>
          <w:szCs w:val="24"/>
        </w:rPr>
        <w:t>Blank absorbance: 1.838</w:t>
      </w:r>
    </w:p>
    <w:tbl>
      <w:tblPr>
        <w:tblStyle w:val="17"/>
        <w:tblW w:w="10013" w:type="dxa"/>
        <w:tblInd w:w="0" w:type="dxa"/>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225"/>
        <w:gridCol w:w="2130"/>
        <w:gridCol w:w="1764"/>
        <w:gridCol w:w="2130"/>
        <w:gridCol w:w="1764"/>
      </w:tblGrid>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89" w:hRule="atLeast"/>
        </w:trPr>
        <w:tc>
          <w:tcPr>
            <w:tcW w:w="2225" w:type="dxa"/>
            <w:tcBorders>
              <w:top w:val="single" w:color="auto" w:sz="4" w:space="0"/>
              <w:left w:val="single" w:color="auto" w:sz="4" w:space="0"/>
              <w:bottom w:val="single" w:color="000000" w:themeColor="text1" w:sz="8" w:space="0"/>
              <w:right w:val="nil"/>
              <w:insideH w:val="single" w:sz="8" w:space="0"/>
              <w:insideV w:val="nil"/>
            </w:tcBorders>
          </w:tcPr>
          <w:p>
            <w:pPr>
              <w:spacing w:before="0" w:after="0"/>
              <w:jc w:val="both"/>
              <w:rPr>
                <w:b/>
                <w:bCs/>
                <w:color w:val="auto"/>
                <w:szCs w:val="24"/>
              </w:rPr>
            </w:pPr>
            <w:r>
              <w:rPr>
                <w:b w:val="0"/>
                <w:bCs/>
                <w:color w:val="auto"/>
                <w:szCs w:val="24"/>
              </w:rPr>
              <w:t xml:space="preserve">Concentration </w:t>
            </w:r>
          </w:p>
          <w:p>
            <w:pPr>
              <w:spacing w:before="0" w:after="0"/>
              <w:jc w:val="both"/>
              <w:rPr>
                <w:b/>
                <w:bCs/>
                <w:color w:val="auto"/>
                <w:szCs w:val="24"/>
              </w:rPr>
            </w:pPr>
            <w:r>
              <w:rPr>
                <w:b w:val="0"/>
                <w:bCs/>
                <w:color w:val="auto"/>
                <w:szCs w:val="24"/>
              </w:rPr>
              <w:t>(mg/L)</w:t>
            </w:r>
          </w:p>
        </w:tc>
        <w:tc>
          <w:tcPr>
            <w:tcW w:w="2130" w:type="dxa"/>
            <w:tcBorders>
              <w:top w:val="single" w:color="auto" w:sz="4" w:space="0"/>
              <w:bottom w:val="single" w:color="000000" w:themeColor="text1" w:sz="8" w:space="0"/>
              <w:right w:val="nil"/>
              <w:insideH w:val="single" w:sz="8" w:space="0"/>
              <w:insideV w:val="nil"/>
            </w:tcBorders>
          </w:tcPr>
          <w:p>
            <w:pPr>
              <w:spacing w:before="0" w:after="0"/>
              <w:jc w:val="both"/>
              <w:rPr>
                <w:b/>
                <w:bCs w:val="0"/>
                <w:color w:val="auto"/>
                <w:szCs w:val="24"/>
              </w:rPr>
            </w:pPr>
            <w:r>
              <w:rPr>
                <w:b w:val="0"/>
                <w:bCs/>
                <w:color w:val="auto"/>
                <w:szCs w:val="24"/>
              </w:rPr>
              <w:t xml:space="preserve">Ascorbic acid </w:t>
            </w:r>
          </w:p>
          <w:p>
            <w:pPr>
              <w:spacing w:before="0" w:after="0"/>
              <w:jc w:val="both"/>
              <w:rPr>
                <w:b/>
                <w:bCs/>
                <w:color w:val="auto"/>
                <w:szCs w:val="24"/>
              </w:rPr>
            </w:pPr>
            <w:r>
              <w:rPr>
                <w:b w:val="0"/>
                <w:bCs/>
                <w:color w:val="auto"/>
                <w:szCs w:val="24"/>
              </w:rPr>
              <w:t xml:space="preserve">absorbance </w:t>
            </w:r>
          </w:p>
        </w:tc>
        <w:tc>
          <w:tcPr>
            <w:tcW w:w="1764" w:type="dxa"/>
            <w:tcBorders>
              <w:top w:val="single" w:color="auto" w:sz="4" w:space="0"/>
              <w:bottom w:val="single" w:color="000000" w:themeColor="text1" w:sz="8" w:space="0"/>
              <w:right w:val="nil"/>
              <w:insideH w:val="single" w:sz="8" w:space="0"/>
              <w:insideV w:val="nil"/>
            </w:tcBorders>
          </w:tcPr>
          <w:p>
            <w:pPr>
              <w:spacing w:before="0" w:after="0"/>
              <w:jc w:val="both"/>
              <w:rPr>
                <w:b/>
                <w:bCs/>
                <w:color w:val="auto"/>
                <w:szCs w:val="24"/>
              </w:rPr>
            </w:pPr>
            <w:r>
              <w:rPr>
                <w:b w:val="0"/>
                <w:bCs/>
                <w:color w:val="auto"/>
                <w:szCs w:val="24"/>
              </w:rPr>
              <w:t xml:space="preserve">   %Inhibition of Ascorbic acid</w:t>
            </w:r>
          </w:p>
        </w:tc>
        <w:tc>
          <w:tcPr>
            <w:tcW w:w="2130" w:type="dxa"/>
            <w:tcBorders>
              <w:top w:val="single" w:color="auto" w:sz="4" w:space="0"/>
              <w:bottom w:val="single" w:color="000000" w:themeColor="text1" w:sz="8" w:space="0"/>
              <w:right w:val="nil"/>
              <w:insideH w:val="single" w:sz="8" w:space="0"/>
              <w:insideV w:val="nil"/>
            </w:tcBorders>
          </w:tcPr>
          <w:p>
            <w:pPr>
              <w:spacing w:before="0" w:after="0"/>
              <w:jc w:val="both"/>
              <w:rPr>
                <w:b/>
                <w:bCs/>
                <w:color w:val="auto"/>
                <w:szCs w:val="24"/>
              </w:rPr>
            </w:pPr>
            <w:r>
              <w:rPr>
                <w:b w:val="0"/>
                <w:bCs/>
                <w:color w:val="auto"/>
                <w:szCs w:val="24"/>
              </w:rPr>
              <w:t>Sample Absorbance</w:t>
            </w:r>
          </w:p>
        </w:tc>
        <w:tc>
          <w:tcPr>
            <w:tcW w:w="1764" w:type="dxa"/>
            <w:tcBorders>
              <w:top w:val="single" w:color="auto" w:sz="4" w:space="0"/>
              <w:bottom w:val="single" w:color="000000" w:themeColor="text1" w:sz="8" w:space="0"/>
              <w:right w:val="single" w:color="auto" w:sz="4" w:space="0"/>
              <w:insideH w:val="single" w:sz="8" w:space="0"/>
              <w:insideV w:val="nil"/>
            </w:tcBorders>
          </w:tcPr>
          <w:p>
            <w:pPr>
              <w:spacing w:before="0" w:after="0"/>
              <w:jc w:val="both"/>
              <w:rPr>
                <w:b/>
                <w:bCs/>
                <w:color w:val="auto"/>
                <w:szCs w:val="24"/>
              </w:rPr>
            </w:pPr>
            <w:r>
              <w:rPr>
                <w:b w:val="0"/>
                <w:bCs/>
                <w:color w:val="auto"/>
                <w:szCs w:val="24"/>
              </w:rPr>
              <w:t>%Inhibition of sample</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1" w:hRule="atLeast"/>
        </w:trPr>
        <w:tc>
          <w:tcPr>
            <w:tcW w:w="2225" w:type="dxa"/>
            <w:tcBorders>
              <w:left w:val="single" w:color="auto" w:sz="4" w:space="0"/>
            </w:tcBorders>
          </w:tcPr>
          <w:p>
            <w:pPr>
              <w:spacing w:after="0"/>
              <w:jc w:val="both"/>
              <w:rPr>
                <w:b/>
                <w:bCs/>
                <w:color w:val="auto"/>
                <w:szCs w:val="24"/>
              </w:rPr>
            </w:pPr>
            <w:r>
              <w:rPr>
                <w:b w:val="0"/>
                <w:bCs/>
                <w:color w:val="auto"/>
                <w:szCs w:val="24"/>
              </w:rPr>
              <w:t>20</w:t>
            </w:r>
          </w:p>
        </w:tc>
        <w:tc>
          <w:tcPr>
            <w:tcW w:w="2130" w:type="dxa"/>
          </w:tcPr>
          <w:p>
            <w:pPr>
              <w:spacing w:after="0"/>
              <w:jc w:val="both"/>
              <w:rPr>
                <w:color w:val="auto"/>
                <w:szCs w:val="24"/>
              </w:rPr>
            </w:pPr>
            <w:r>
              <w:rPr>
                <w:color w:val="auto"/>
                <w:szCs w:val="24"/>
              </w:rPr>
              <w:t>1.404</w:t>
            </w:r>
          </w:p>
        </w:tc>
        <w:tc>
          <w:tcPr>
            <w:tcW w:w="1764" w:type="dxa"/>
          </w:tcPr>
          <w:p>
            <w:pPr>
              <w:spacing w:after="0"/>
              <w:jc w:val="both"/>
              <w:rPr>
                <w:color w:val="auto"/>
                <w:szCs w:val="24"/>
              </w:rPr>
            </w:pPr>
            <w:r>
              <w:rPr>
                <w:color w:val="auto"/>
                <w:szCs w:val="24"/>
              </w:rPr>
              <w:t>76.6</w:t>
            </w:r>
          </w:p>
        </w:tc>
        <w:tc>
          <w:tcPr>
            <w:tcW w:w="2130" w:type="dxa"/>
          </w:tcPr>
          <w:p>
            <w:pPr>
              <w:spacing w:after="0"/>
              <w:jc w:val="both"/>
              <w:rPr>
                <w:color w:val="auto"/>
                <w:szCs w:val="24"/>
              </w:rPr>
            </w:pPr>
            <w:r>
              <w:rPr>
                <w:color w:val="auto"/>
                <w:szCs w:val="24"/>
              </w:rPr>
              <w:t>1.263</w:t>
            </w:r>
          </w:p>
        </w:tc>
        <w:tc>
          <w:tcPr>
            <w:tcW w:w="1764" w:type="dxa"/>
            <w:tcBorders>
              <w:right w:val="single" w:color="auto" w:sz="4" w:space="0"/>
            </w:tcBorders>
          </w:tcPr>
          <w:p>
            <w:pPr>
              <w:spacing w:after="0"/>
              <w:jc w:val="both"/>
              <w:rPr>
                <w:color w:val="auto"/>
                <w:szCs w:val="24"/>
              </w:rPr>
            </w:pPr>
            <w:r>
              <w:rPr>
                <w:color w:val="auto"/>
                <w:szCs w:val="24"/>
              </w:rPr>
              <w:t>68.72</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4" w:hRule="atLeast"/>
        </w:trPr>
        <w:tc>
          <w:tcPr>
            <w:tcW w:w="2225" w:type="dxa"/>
            <w:tcBorders>
              <w:left w:val="single" w:color="auto" w:sz="4" w:space="0"/>
            </w:tcBorders>
          </w:tcPr>
          <w:p>
            <w:pPr>
              <w:spacing w:after="0"/>
              <w:jc w:val="both"/>
              <w:rPr>
                <w:b/>
                <w:bCs/>
                <w:color w:val="auto"/>
                <w:szCs w:val="24"/>
              </w:rPr>
            </w:pPr>
            <w:r>
              <w:rPr>
                <w:b w:val="0"/>
                <w:bCs/>
                <w:color w:val="auto"/>
                <w:szCs w:val="24"/>
              </w:rPr>
              <w:t>40</w:t>
            </w:r>
          </w:p>
        </w:tc>
        <w:tc>
          <w:tcPr>
            <w:tcW w:w="2130" w:type="dxa"/>
          </w:tcPr>
          <w:p>
            <w:pPr>
              <w:spacing w:after="0"/>
              <w:jc w:val="both"/>
              <w:rPr>
                <w:color w:val="auto"/>
                <w:szCs w:val="24"/>
              </w:rPr>
            </w:pPr>
            <w:r>
              <w:rPr>
                <w:color w:val="auto"/>
                <w:szCs w:val="24"/>
              </w:rPr>
              <w:t>1.514</w:t>
            </w:r>
          </w:p>
        </w:tc>
        <w:tc>
          <w:tcPr>
            <w:tcW w:w="1764" w:type="dxa"/>
          </w:tcPr>
          <w:p>
            <w:pPr>
              <w:spacing w:after="0"/>
              <w:jc w:val="both"/>
              <w:rPr>
                <w:color w:val="auto"/>
                <w:szCs w:val="24"/>
              </w:rPr>
            </w:pPr>
            <w:r>
              <w:rPr>
                <w:color w:val="auto"/>
                <w:szCs w:val="24"/>
              </w:rPr>
              <w:t>82.37</w:t>
            </w:r>
          </w:p>
        </w:tc>
        <w:tc>
          <w:tcPr>
            <w:tcW w:w="2130" w:type="dxa"/>
          </w:tcPr>
          <w:p>
            <w:pPr>
              <w:spacing w:after="0"/>
              <w:jc w:val="both"/>
              <w:rPr>
                <w:color w:val="auto"/>
                <w:szCs w:val="24"/>
              </w:rPr>
            </w:pPr>
            <w:r>
              <w:rPr>
                <w:color w:val="auto"/>
                <w:szCs w:val="24"/>
              </w:rPr>
              <w:t>1.384</w:t>
            </w:r>
          </w:p>
        </w:tc>
        <w:tc>
          <w:tcPr>
            <w:tcW w:w="1764" w:type="dxa"/>
            <w:tcBorders>
              <w:right w:val="single" w:color="auto" w:sz="4" w:space="0"/>
            </w:tcBorders>
          </w:tcPr>
          <w:p>
            <w:pPr>
              <w:spacing w:after="0"/>
              <w:jc w:val="both"/>
              <w:rPr>
                <w:color w:val="auto"/>
                <w:szCs w:val="24"/>
              </w:rPr>
            </w:pPr>
            <w:r>
              <w:rPr>
                <w:color w:val="auto"/>
                <w:szCs w:val="24"/>
              </w:rPr>
              <w:t>75.3</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4" w:hRule="atLeast"/>
        </w:trPr>
        <w:tc>
          <w:tcPr>
            <w:tcW w:w="2225" w:type="dxa"/>
            <w:tcBorders>
              <w:left w:val="single" w:color="auto" w:sz="4" w:space="0"/>
            </w:tcBorders>
          </w:tcPr>
          <w:p>
            <w:pPr>
              <w:spacing w:after="0"/>
              <w:jc w:val="both"/>
              <w:rPr>
                <w:b/>
                <w:bCs/>
                <w:color w:val="auto"/>
                <w:szCs w:val="24"/>
              </w:rPr>
            </w:pPr>
            <w:r>
              <w:rPr>
                <w:b w:val="0"/>
                <w:bCs/>
                <w:color w:val="auto"/>
                <w:szCs w:val="24"/>
              </w:rPr>
              <w:t>60</w:t>
            </w:r>
          </w:p>
        </w:tc>
        <w:tc>
          <w:tcPr>
            <w:tcW w:w="2130" w:type="dxa"/>
          </w:tcPr>
          <w:p>
            <w:pPr>
              <w:spacing w:after="0"/>
              <w:jc w:val="both"/>
              <w:rPr>
                <w:color w:val="auto"/>
                <w:szCs w:val="24"/>
              </w:rPr>
            </w:pPr>
            <w:r>
              <w:rPr>
                <w:color w:val="auto"/>
                <w:szCs w:val="24"/>
              </w:rPr>
              <w:t>1.651</w:t>
            </w:r>
          </w:p>
        </w:tc>
        <w:tc>
          <w:tcPr>
            <w:tcW w:w="1764" w:type="dxa"/>
          </w:tcPr>
          <w:p>
            <w:pPr>
              <w:spacing w:after="0"/>
              <w:jc w:val="both"/>
              <w:rPr>
                <w:color w:val="auto"/>
                <w:szCs w:val="24"/>
              </w:rPr>
            </w:pPr>
            <w:r>
              <w:rPr>
                <w:color w:val="auto"/>
                <w:szCs w:val="24"/>
              </w:rPr>
              <w:t>89.83</w:t>
            </w:r>
          </w:p>
        </w:tc>
        <w:tc>
          <w:tcPr>
            <w:tcW w:w="2130" w:type="dxa"/>
          </w:tcPr>
          <w:p>
            <w:pPr>
              <w:spacing w:after="0"/>
              <w:jc w:val="both"/>
              <w:rPr>
                <w:color w:val="auto"/>
                <w:szCs w:val="24"/>
              </w:rPr>
            </w:pPr>
            <w:r>
              <w:rPr>
                <w:color w:val="auto"/>
                <w:szCs w:val="24"/>
              </w:rPr>
              <w:t>1.425</w:t>
            </w:r>
          </w:p>
        </w:tc>
        <w:tc>
          <w:tcPr>
            <w:tcW w:w="1764" w:type="dxa"/>
            <w:tcBorders>
              <w:right w:val="single" w:color="auto" w:sz="4" w:space="0"/>
            </w:tcBorders>
          </w:tcPr>
          <w:p>
            <w:pPr>
              <w:spacing w:after="0"/>
              <w:jc w:val="both"/>
              <w:rPr>
                <w:color w:val="auto"/>
                <w:szCs w:val="24"/>
              </w:rPr>
            </w:pPr>
            <w:r>
              <w:rPr>
                <w:color w:val="auto"/>
                <w:szCs w:val="24"/>
              </w:rPr>
              <w:t>77.3</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4" w:hRule="atLeast"/>
        </w:trPr>
        <w:tc>
          <w:tcPr>
            <w:tcW w:w="2225" w:type="dxa"/>
            <w:tcBorders>
              <w:left w:val="single" w:color="auto" w:sz="4" w:space="0"/>
            </w:tcBorders>
          </w:tcPr>
          <w:p>
            <w:pPr>
              <w:spacing w:after="0"/>
              <w:jc w:val="both"/>
              <w:rPr>
                <w:b/>
                <w:bCs/>
                <w:color w:val="auto"/>
                <w:szCs w:val="24"/>
              </w:rPr>
            </w:pPr>
            <w:r>
              <w:rPr>
                <w:b w:val="0"/>
                <w:bCs/>
                <w:color w:val="auto"/>
                <w:szCs w:val="24"/>
              </w:rPr>
              <w:t>80</w:t>
            </w:r>
          </w:p>
        </w:tc>
        <w:tc>
          <w:tcPr>
            <w:tcW w:w="2130" w:type="dxa"/>
          </w:tcPr>
          <w:p>
            <w:pPr>
              <w:spacing w:after="0"/>
              <w:jc w:val="both"/>
              <w:rPr>
                <w:color w:val="auto"/>
                <w:szCs w:val="24"/>
              </w:rPr>
            </w:pPr>
            <w:r>
              <w:rPr>
                <w:color w:val="auto"/>
                <w:szCs w:val="24"/>
              </w:rPr>
              <w:t xml:space="preserve">1.746 </w:t>
            </w:r>
          </w:p>
        </w:tc>
        <w:tc>
          <w:tcPr>
            <w:tcW w:w="1764" w:type="dxa"/>
          </w:tcPr>
          <w:p>
            <w:pPr>
              <w:spacing w:after="0"/>
              <w:jc w:val="both"/>
              <w:rPr>
                <w:color w:val="auto"/>
                <w:szCs w:val="24"/>
              </w:rPr>
            </w:pPr>
            <w:r>
              <w:rPr>
                <w:color w:val="auto"/>
                <w:szCs w:val="24"/>
              </w:rPr>
              <w:t>94.99</w:t>
            </w:r>
          </w:p>
        </w:tc>
        <w:tc>
          <w:tcPr>
            <w:tcW w:w="2130" w:type="dxa"/>
          </w:tcPr>
          <w:p>
            <w:pPr>
              <w:spacing w:after="0"/>
              <w:jc w:val="both"/>
              <w:rPr>
                <w:color w:val="auto"/>
                <w:szCs w:val="24"/>
              </w:rPr>
            </w:pPr>
            <w:r>
              <w:rPr>
                <w:color w:val="auto"/>
                <w:szCs w:val="24"/>
              </w:rPr>
              <w:t>1.528</w:t>
            </w:r>
          </w:p>
        </w:tc>
        <w:tc>
          <w:tcPr>
            <w:tcW w:w="1764" w:type="dxa"/>
            <w:tcBorders>
              <w:right w:val="single" w:color="auto" w:sz="4" w:space="0"/>
            </w:tcBorders>
          </w:tcPr>
          <w:p>
            <w:pPr>
              <w:spacing w:after="0"/>
              <w:jc w:val="both"/>
              <w:rPr>
                <w:color w:val="auto"/>
                <w:szCs w:val="24"/>
              </w:rPr>
            </w:pPr>
            <w:r>
              <w:rPr>
                <w:color w:val="auto"/>
                <w:szCs w:val="24"/>
              </w:rPr>
              <w:t>83.13</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1" w:hRule="atLeast"/>
        </w:trPr>
        <w:tc>
          <w:tcPr>
            <w:tcW w:w="2225" w:type="dxa"/>
            <w:tcBorders>
              <w:left w:val="single" w:color="auto" w:sz="4" w:space="0"/>
              <w:bottom w:val="single" w:color="auto" w:sz="4" w:space="0"/>
            </w:tcBorders>
          </w:tcPr>
          <w:p>
            <w:pPr>
              <w:spacing w:after="0"/>
              <w:jc w:val="both"/>
              <w:rPr>
                <w:b/>
                <w:bCs/>
                <w:color w:val="auto"/>
                <w:szCs w:val="24"/>
              </w:rPr>
            </w:pPr>
            <w:r>
              <w:rPr>
                <w:b w:val="0"/>
                <w:bCs/>
                <w:color w:val="auto"/>
                <w:szCs w:val="24"/>
              </w:rPr>
              <w:t>100</w:t>
            </w:r>
          </w:p>
        </w:tc>
        <w:tc>
          <w:tcPr>
            <w:tcW w:w="2130" w:type="dxa"/>
            <w:tcBorders>
              <w:bottom w:val="single" w:color="auto" w:sz="4" w:space="0"/>
            </w:tcBorders>
          </w:tcPr>
          <w:p>
            <w:pPr>
              <w:spacing w:after="0"/>
              <w:jc w:val="both"/>
              <w:rPr>
                <w:color w:val="auto"/>
                <w:szCs w:val="24"/>
              </w:rPr>
            </w:pPr>
            <w:r>
              <w:rPr>
                <w:color w:val="auto"/>
                <w:szCs w:val="24"/>
              </w:rPr>
              <w:t>1.813</w:t>
            </w:r>
          </w:p>
        </w:tc>
        <w:tc>
          <w:tcPr>
            <w:tcW w:w="1764" w:type="dxa"/>
            <w:tcBorders>
              <w:bottom w:val="single" w:color="auto" w:sz="4" w:space="0"/>
            </w:tcBorders>
          </w:tcPr>
          <w:p>
            <w:pPr>
              <w:spacing w:after="0"/>
              <w:jc w:val="both"/>
              <w:rPr>
                <w:color w:val="auto"/>
                <w:szCs w:val="24"/>
              </w:rPr>
            </w:pPr>
            <w:r>
              <w:rPr>
                <w:color w:val="auto"/>
                <w:szCs w:val="24"/>
              </w:rPr>
              <w:t>98.63</w:t>
            </w:r>
          </w:p>
        </w:tc>
        <w:tc>
          <w:tcPr>
            <w:tcW w:w="2130" w:type="dxa"/>
            <w:tcBorders>
              <w:bottom w:val="single" w:color="auto" w:sz="4" w:space="0"/>
            </w:tcBorders>
          </w:tcPr>
          <w:p>
            <w:pPr>
              <w:spacing w:after="0"/>
              <w:jc w:val="both"/>
              <w:rPr>
                <w:color w:val="auto"/>
                <w:szCs w:val="24"/>
              </w:rPr>
            </w:pPr>
            <w:r>
              <w:rPr>
                <w:color w:val="auto"/>
                <w:szCs w:val="24"/>
              </w:rPr>
              <w:t>1.622</w:t>
            </w:r>
          </w:p>
        </w:tc>
        <w:tc>
          <w:tcPr>
            <w:tcW w:w="1764" w:type="dxa"/>
            <w:tcBorders>
              <w:bottom w:val="single" w:color="auto" w:sz="4" w:space="0"/>
              <w:right w:val="single" w:color="auto" w:sz="4" w:space="0"/>
            </w:tcBorders>
          </w:tcPr>
          <w:p>
            <w:pPr>
              <w:spacing w:after="0"/>
              <w:jc w:val="both"/>
              <w:rPr>
                <w:color w:val="auto"/>
                <w:szCs w:val="24"/>
              </w:rPr>
            </w:pPr>
            <w:r>
              <w:rPr>
                <w:color w:val="auto"/>
                <w:szCs w:val="24"/>
              </w:rPr>
              <w:t>88.24</w:t>
            </w:r>
          </w:p>
        </w:tc>
      </w:tr>
    </w:tbl>
    <w:p>
      <w:pPr>
        <w:jc w:val="both"/>
        <w:rPr>
          <w:szCs w:val="24"/>
        </w:rPr>
      </w:pPr>
    </w:p>
    <w:p>
      <w:pPr>
        <w:jc w:val="both"/>
        <w:rPr>
          <w:rFonts w:eastAsia="SimSun"/>
          <w:szCs w:val="24"/>
        </w:rPr>
      </w:pPr>
      <w:r>
        <w:rPr>
          <w:szCs w:val="24"/>
        </w:rPr>
        <w:t>From the above Table 4 FRAP assay, absorbance increased with increasing concentration of plant extracts. The samples increased their reducing ability when the concentration of extracts increases. This signified the consistent reduction of Fe</w:t>
      </w:r>
      <w:r>
        <w:rPr>
          <w:szCs w:val="24"/>
          <w:vertAlign w:val="superscript"/>
        </w:rPr>
        <w:t>3+</w:t>
      </w:r>
      <w:r>
        <w:rPr>
          <w:szCs w:val="24"/>
        </w:rPr>
        <w:t xml:space="preserve"> to Fe</w:t>
      </w:r>
      <w:r>
        <w:rPr>
          <w:szCs w:val="24"/>
          <w:vertAlign w:val="superscript"/>
        </w:rPr>
        <w:t>2+</w:t>
      </w:r>
      <w:r>
        <w:rPr>
          <w:szCs w:val="24"/>
        </w:rPr>
        <w:t xml:space="preserve"> indicating the reduction potential of the </w:t>
      </w:r>
      <w:r>
        <w:rPr>
          <w:i/>
          <w:szCs w:val="24"/>
        </w:rPr>
        <w:t>V.sinaiticum</w:t>
      </w:r>
      <w:r>
        <w:rPr>
          <w:szCs w:val="24"/>
        </w:rPr>
        <w:t xml:space="preserve">. However, the ability of reducing power of methanolic extract of the root of </w:t>
      </w:r>
      <w:r>
        <w:rPr>
          <w:i/>
          <w:szCs w:val="24"/>
        </w:rPr>
        <w:t xml:space="preserve">V. sinaiticum </w:t>
      </w:r>
      <w:r>
        <w:rPr>
          <w:szCs w:val="24"/>
        </w:rPr>
        <w:t>was lower than the standard antioxidant, ascorbic acid. Which means the maximum % inhibition of the sample is 88.72%; the maximum % inhibition of the standard 98.63%. 10% lower than the ascorbic acid inhibition.</w:t>
      </w:r>
    </w:p>
    <w:p>
      <w:pPr>
        <w:pStyle w:val="3"/>
        <w:jc w:val="both"/>
        <w:rPr>
          <w:rFonts w:ascii="Times New Roman" w:hAnsi="Times New Roman"/>
          <w:color w:val="auto"/>
          <w:sz w:val="24"/>
          <w:szCs w:val="24"/>
        </w:rPr>
      </w:pPr>
      <w:bookmarkStart w:id="72" w:name="_Toc16719"/>
      <w:r>
        <w:rPr>
          <w:rFonts w:ascii="Times New Roman" w:hAnsi="Times New Roman" w:eastAsia="SimSun"/>
          <w:color w:val="auto"/>
          <w:sz w:val="24"/>
          <w:szCs w:val="24"/>
        </w:rPr>
        <w:t>4.4 Free Radical Scavenging Activity (DPPH)</w:t>
      </w:r>
      <w:bookmarkEnd w:id="72"/>
    </w:p>
    <w:p>
      <w:pPr>
        <w:pStyle w:val="6"/>
        <w:jc w:val="both"/>
        <w:rPr>
          <w:rFonts w:ascii="Times New Roman" w:hAnsi="Times New Roman" w:cs="Times New Roman"/>
          <w:i/>
          <w:iCs/>
          <w:sz w:val="24"/>
          <w:szCs w:val="24"/>
        </w:rPr>
      </w:pPr>
      <w:r>
        <w:rPr>
          <w:rFonts w:ascii="Times New Roman" w:hAnsi="Times New Roman" w:cs="Times New Roman"/>
          <w:b/>
          <w:bCs/>
          <w:sz w:val="24"/>
          <w:szCs w:val="24"/>
        </w:rPr>
        <w:t xml:space="preserve">Table </w:t>
      </w: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SEQ Table \* ARABIC </w:instrText>
      </w:r>
      <w:r>
        <w:rPr>
          <w:rFonts w:ascii="Times New Roman" w:hAnsi="Times New Roman" w:cs="Times New Roman"/>
          <w:b/>
          <w:bCs/>
          <w:sz w:val="24"/>
          <w:szCs w:val="24"/>
        </w:rPr>
        <w:fldChar w:fldCharType="separate"/>
      </w:r>
      <w:r>
        <w:rPr>
          <w:rFonts w:ascii="Times New Roman" w:hAnsi="Times New Roman" w:cs="Times New Roman"/>
          <w:b/>
          <w:bCs/>
          <w:sz w:val="24"/>
          <w:szCs w:val="24"/>
        </w:rPr>
        <w:t>5</w:t>
      </w:r>
      <w:r>
        <w:rPr>
          <w:rFonts w:ascii="Times New Roman" w:hAnsi="Times New Roman" w:cs="Times New Roman"/>
          <w:b/>
          <w:bCs/>
          <w:sz w:val="24"/>
          <w:szCs w:val="24"/>
        </w:rPr>
        <w:fldChar w:fldCharType="end"/>
      </w:r>
      <w:bookmarkStart w:id="73" w:name="_Toc30542"/>
      <w:r>
        <w:rPr>
          <w:rFonts w:ascii="Times New Roman" w:hAnsi="Times New Roman" w:cs="Times New Roman"/>
          <w:b/>
          <w:bCs/>
          <w:sz w:val="24"/>
          <w:szCs w:val="24"/>
        </w:rPr>
        <w:t>:</w:t>
      </w:r>
      <w:r>
        <w:rPr>
          <w:rFonts w:ascii="Times New Roman" w:hAnsi="Times New Roman" w:cs="Times New Roman"/>
          <w:sz w:val="24"/>
          <w:szCs w:val="24"/>
        </w:rPr>
        <w:t xml:space="preserve"> Antioxidants of chloroform and methanol extracts of </w:t>
      </w:r>
      <w:r>
        <w:rPr>
          <w:rFonts w:ascii="Times New Roman" w:hAnsi="Times New Roman" w:cs="Times New Roman"/>
          <w:i/>
          <w:iCs/>
          <w:sz w:val="24"/>
          <w:szCs w:val="24"/>
        </w:rPr>
        <w:t>V. sinaiticum</w:t>
      </w:r>
      <w:bookmarkEnd w:id="73"/>
    </w:p>
    <w:p>
      <w:pPr>
        <w:pStyle w:val="6"/>
        <w:jc w:val="both"/>
        <w:rPr>
          <w:rFonts w:ascii="Times New Roman" w:hAnsi="Times New Roman" w:cs="Times New Roman"/>
          <w:sz w:val="24"/>
          <w:szCs w:val="24"/>
        </w:rPr>
      </w:pPr>
      <w:r>
        <w:rPr>
          <w:rFonts w:ascii="Times New Roman" w:hAnsi="Times New Roman" w:cs="Times New Roman"/>
          <w:sz w:val="24"/>
          <w:szCs w:val="24"/>
        </w:rPr>
        <w:t xml:space="preserve">The absorbance of blank is 1.2978 </w:t>
      </w:r>
    </w:p>
    <w:tbl>
      <w:tblPr>
        <w:tblStyle w:val="17"/>
        <w:tblW w:w="9600" w:type="dxa"/>
        <w:tblInd w:w="0" w:type="dxa"/>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03"/>
        <w:gridCol w:w="884"/>
        <w:gridCol w:w="1236"/>
        <w:gridCol w:w="1031"/>
        <w:gridCol w:w="1649"/>
        <w:gridCol w:w="1649"/>
        <w:gridCol w:w="1648"/>
      </w:tblGrid>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47" w:hRule="atLeast"/>
        </w:trPr>
        <w:tc>
          <w:tcPr>
            <w:tcW w:w="1503" w:type="dxa"/>
            <w:tcBorders>
              <w:top w:val="single" w:color="auto" w:sz="4" w:space="0"/>
              <w:left w:val="single" w:color="auto" w:sz="4" w:space="0"/>
              <w:bottom w:val="single" w:color="000000" w:themeColor="text1" w:sz="8" w:space="0"/>
              <w:right w:val="nil"/>
              <w:insideH w:val="single" w:sz="8" w:space="0"/>
              <w:insideV w:val="nil"/>
            </w:tcBorders>
          </w:tcPr>
          <w:p>
            <w:pPr>
              <w:spacing w:before="0" w:after="0" w:line="240" w:lineRule="auto"/>
              <w:jc w:val="both"/>
              <w:rPr>
                <w:b/>
                <w:bCs w:val="0"/>
                <w:color w:val="auto"/>
                <w:szCs w:val="24"/>
              </w:rPr>
            </w:pPr>
          </w:p>
          <w:p>
            <w:pPr>
              <w:spacing w:before="0" w:after="0" w:line="240" w:lineRule="auto"/>
              <w:jc w:val="both"/>
              <w:rPr>
                <w:b/>
                <w:bCs/>
                <w:color w:val="auto"/>
                <w:szCs w:val="24"/>
              </w:rPr>
            </w:pPr>
            <w:r>
              <w:rPr>
                <w:b w:val="0"/>
                <w:bCs/>
                <w:color w:val="auto"/>
                <w:szCs w:val="24"/>
              </w:rPr>
              <w:t>Concentration (mg/L)</w:t>
            </w:r>
          </w:p>
        </w:tc>
        <w:tc>
          <w:tcPr>
            <w:tcW w:w="3151" w:type="dxa"/>
            <w:gridSpan w:val="3"/>
            <w:tcBorders>
              <w:top w:val="single" w:color="auto" w:sz="4" w:space="0"/>
              <w:bottom w:val="single" w:color="000000" w:themeColor="text1" w:sz="8" w:space="0"/>
              <w:right w:val="nil"/>
              <w:insideH w:val="single" w:sz="8" w:space="0"/>
              <w:insideV w:val="nil"/>
            </w:tcBorders>
          </w:tcPr>
          <w:p>
            <w:pPr>
              <w:spacing w:before="0" w:after="0" w:line="240" w:lineRule="auto"/>
              <w:jc w:val="both"/>
              <w:rPr>
                <w:b/>
                <w:bCs/>
                <w:color w:val="auto"/>
                <w:szCs w:val="24"/>
              </w:rPr>
            </w:pPr>
            <w:r>
              <w:rPr>
                <w:b w:val="0"/>
                <w:bCs/>
                <w:color w:val="auto"/>
                <w:szCs w:val="24"/>
              </w:rPr>
              <w:t xml:space="preserve">Absorbance  </w:t>
            </w:r>
          </w:p>
        </w:tc>
        <w:tc>
          <w:tcPr>
            <w:tcW w:w="4946" w:type="dxa"/>
            <w:gridSpan w:val="3"/>
            <w:tcBorders>
              <w:top w:val="single" w:color="auto" w:sz="4" w:space="0"/>
              <w:bottom w:val="single" w:color="000000" w:themeColor="text1" w:sz="8" w:space="0"/>
              <w:right w:val="single" w:color="auto" w:sz="4" w:space="0"/>
              <w:insideH w:val="single" w:sz="8" w:space="0"/>
              <w:insideV w:val="nil"/>
            </w:tcBorders>
          </w:tcPr>
          <w:p>
            <w:pPr>
              <w:spacing w:before="0" w:after="0" w:line="240" w:lineRule="auto"/>
              <w:jc w:val="both"/>
              <w:rPr>
                <w:b/>
                <w:bCs/>
                <w:color w:val="auto"/>
                <w:szCs w:val="24"/>
              </w:rPr>
            </w:pPr>
            <w:r>
              <w:rPr>
                <w:b w:val="0"/>
                <w:bCs/>
                <w:color w:val="auto"/>
                <w:szCs w:val="24"/>
              </w:rPr>
              <w:t xml:space="preserve">               % Inhibition zone± SD</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8" w:hRule="atLeast"/>
        </w:trPr>
        <w:tc>
          <w:tcPr>
            <w:tcW w:w="1503" w:type="dxa"/>
            <w:vMerge w:val="restart"/>
            <w:tcBorders>
              <w:left w:val="single" w:color="auto" w:sz="4" w:space="0"/>
            </w:tcBorders>
          </w:tcPr>
          <w:p>
            <w:pPr>
              <w:spacing w:after="0" w:line="240" w:lineRule="auto"/>
              <w:jc w:val="both"/>
              <w:rPr>
                <w:b w:val="0"/>
                <w:bCs/>
                <w:color w:val="auto"/>
                <w:szCs w:val="24"/>
              </w:rPr>
            </w:pPr>
          </w:p>
        </w:tc>
        <w:tc>
          <w:tcPr>
            <w:tcW w:w="884" w:type="dxa"/>
            <w:vMerge w:val="restart"/>
          </w:tcPr>
          <w:p>
            <w:pPr>
              <w:spacing w:after="0" w:line="240" w:lineRule="auto"/>
              <w:jc w:val="both"/>
              <w:rPr>
                <w:color w:val="auto"/>
                <w:szCs w:val="24"/>
              </w:rPr>
            </w:pPr>
            <w:r>
              <w:rPr>
                <w:color w:val="auto"/>
                <w:szCs w:val="24"/>
              </w:rPr>
              <w:t>MeOH</w:t>
            </w:r>
          </w:p>
        </w:tc>
        <w:tc>
          <w:tcPr>
            <w:tcW w:w="1236" w:type="dxa"/>
            <w:vMerge w:val="restart"/>
          </w:tcPr>
          <w:p>
            <w:pPr>
              <w:spacing w:after="0" w:line="240" w:lineRule="auto"/>
              <w:jc w:val="both"/>
              <w:rPr>
                <w:color w:val="auto"/>
                <w:szCs w:val="24"/>
              </w:rPr>
            </w:pPr>
            <w:r>
              <w:rPr>
                <w:color w:val="auto"/>
                <w:szCs w:val="24"/>
              </w:rPr>
              <w:t>CHCl</w:t>
            </w:r>
            <w:r>
              <w:rPr>
                <w:color w:val="auto"/>
                <w:szCs w:val="24"/>
                <w:vertAlign w:val="subscript"/>
              </w:rPr>
              <w:t>3</w:t>
            </w:r>
          </w:p>
        </w:tc>
        <w:tc>
          <w:tcPr>
            <w:tcW w:w="1031" w:type="dxa"/>
            <w:vMerge w:val="restart"/>
          </w:tcPr>
          <w:p>
            <w:pPr>
              <w:spacing w:after="0" w:line="240" w:lineRule="auto"/>
              <w:jc w:val="both"/>
              <w:rPr>
                <w:color w:val="auto"/>
                <w:szCs w:val="24"/>
              </w:rPr>
            </w:pPr>
            <w:r>
              <w:rPr>
                <w:color w:val="auto"/>
                <w:szCs w:val="24"/>
              </w:rPr>
              <w:t>AA</w:t>
            </w:r>
          </w:p>
        </w:tc>
        <w:tc>
          <w:tcPr>
            <w:tcW w:w="4946" w:type="dxa"/>
            <w:gridSpan w:val="3"/>
            <w:tcBorders>
              <w:right w:val="single" w:color="auto" w:sz="4" w:space="0"/>
            </w:tcBorders>
          </w:tcPr>
          <w:p>
            <w:pPr>
              <w:spacing w:after="0" w:line="240" w:lineRule="auto"/>
              <w:jc w:val="both"/>
              <w:rPr>
                <w:color w:val="auto"/>
                <w:szCs w:val="24"/>
              </w:rPr>
            </w:pP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76" w:hRule="atLeast"/>
        </w:trPr>
        <w:tc>
          <w:tcPr>
            <w:tcW w:w="1503" w:type="dxa"/>
            <w:vMerge w:val="continue"/>
            <w:tcBorders>
              <w:left w:val="single" w:color="auto" w:sz="4" w:space="0"/>
            </w:tcBorders>
          </w:tcPr>
          <w:p>
            <w:pPr>
              <w:spacing w:after="0" w:line="240" w:lineRule="auto"/>
              <w:jc w:val="both"/>
              <w:rPr>
                <w:b w:val="0"/>
                <w:bCs/>
                <w:color w:val="auto"/>
                <w:szCs w:val="24"/>
              </w:rPr>
            </w:pPr>
          </w:p>
        </w:tc>
        <w:tc>
          <w:tcPr>
            <w:tcW w:w="884" w:type="dxa"/>
            <w:vMerge w:val="continue"/>
          </w:tcPr>
          <w:p>
            <w:pPr>
              <w:spacing w:after="0" w:line="240" w:lineRule="auto"/>
              <w:jc w:val="both"/>
              <w:rPr>
                <w:color w:val="auto"/>
                <w:szCs w:val="24"/>
              </w:rPr>
            </w:pPr>
          </w:p>
        </w:tc>
        <w:tc>
          <w:tcPr>
            <w:tcW w:w="1236" w:type="dxa"/>
            <w:vMerge w:val="continue"/>
          </w:tcPr>
          <w:p>
            <w:pPr>
              <w:spacing w:after="0" w:line="240" w:lineRule="auto"/>
              <w:jc w:val="both"/>
              <w:rPr>
                <w:color w:val="auto"/>
                <w:szCs w:val="24"/>
              </w:rPr>
            </w:pPr>
          </w:p>
        </w:tc>
        <w:tc>
          <w:tcPr>
            <w:tcW w:w="1031" w:type="dxa"/>
            <w:vMerge w:val="continue"/>
          </w:tcPr>
          <w:p>
            <w:pPr>
              <w:spacing w:after="0" w:line="240" w:lineRule="auto"/>
              <w:jc w:val="both"/>
              <w:rPr>
                <w:color w:val="auto"/>
                <w:szCs w:val="24"/>
              </w:rPr>
            </w:pPr>
          </w:p>
        </w:tc>
        <w:tc>
          <w:tcPr>
            <w:tcW w:w="1649" w:type="dxa"/>
          </w:tcPr>
          <w:p>
            <w:pPr>
              <w:spacing w:after="0" w:line="240" w:lineRule="auto"/>
              <w:jc w:val="both"/>
              <w:rPr>
                <w:color w:val="auto"/>
                <w:szCs w:val="24"/>
              </w:rPr>
            </w:pPr>
            <w:r>
              <w:rPr>
                <w:color w:val="auto"/>
                <w:szCs w:val="24"/>
              </w:rPr>
              <w:t>MeOH</w:t>
            </w:r>
          </w:p>
        </w:tc>
        <w:tc>
          <w:tcPr>
            <w:tcW w:w="1649" w:type="dxa"/>
          </w:tcPr>
          <w:p>
            <w:pPr>
              <w:spacing w:after="0" w:line="240" w:lineRule="auto"/>
              <w:jc w:val="both"/>
              <w:rPr>
                <w:color w:val="auto"/>
                <w:szCs w:val="24"/>
              </w:rPr>
            </w:pPr>
            <w:r>
              <w:rPr>
                <w:color w:val="auto"/>
                <w:szCs w:val="24"/>
              </w:rPr>
              <w:t>CHCl</w:t>
            </w:r>
            <w:r>
              <w:rPr>
                <w:color w:val="auto"/>
                <w:szCs w:val="24"/>
                <w:vertAlign w:val="subscript"/>
              </w:rPr>
              <w:t>3</w:t>
            </w:r>
          </w:p>
        </w:tc>
        <w:tc>
          <w:tcPr>
            <w:tcW w:w="1648" w:type="dxa"/>
            <w:tcBorders>
              <w:right w:val="single" w:color="auto" w:sz="4" w:space="0"/>
            </w:tcBorders>
          </w:tcPr>
          <w:p>
            <w:pPr>
              <w:spacing w:after="0" w:line="240" w:lineRule="auto"/>
              <w:jc w:val="both"/>
              <w:rPr>
                <w:color w:val="auto"/>
                <w:szCs w:val="24"/>
              </w:rPr>
            </w:pPr>
            <w:r>
              <w:rPr>
                <w:color w:val="auto"/>
                <w:szCs w:val="24"/>
              </w:rPr>
              <w:t>AA</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75" w:hRule="atLeast"/>
        </w:trPr>
        <w:tc>
          <w:tcPr>
            <w:tcW w:w="1503" w:type="dxa"/>
            <w:tcBorders>
              <w:left w:val="single" w:color="auto" w:sz="4" w:space="0"/>
            </w:tcBorders>
          </w:tcPr>
          <w:p>
            <w:pPr>
              <w:spacing w:after="0" w:line="240" w:lineRule="auto"/>
              <w:jc w:val="both"/>
              <w:rPr>
                <w:b/>
                <w:bCs/>
                <w:color w:val="auto"/>
                <w:szCs w:val="24"/>
              </w:rPr>
            </w:pPr>
            <w:r>
              <w:rPr>
                <w:b w:val="0"/>
                <w:bCs/>
                <w:color w:val="auto"/>
                <w:szCs w:val="24"/>
              </w:rPr>
              <w:t>20</w:t>
            </w:r>
          </w:p>
        </w:tc>
        <w:tc>
          <w:tcPr>
            <w:tcW w:w="884" w:type="dxa"/>
          </w:tcPr>
          <w:p>
            <w:pPr>
              <w:spacing w:after="0" w:line="240" w:lineRule="auto"/>
              <w:jc w:val="both"/>
              <w:rPr>
                <w:color w:val="auto"/>
                <w:szCs w:val="24"/>
              </w:rPr>
            </w:pPr>
            <w:r>
              <w:rPr>
                <w:color w:val="auto"/>
                <w:szCs w:val="24"/>
              </w:rPr>
              <w:t>1.1285</w:t>
            </w:r>
          </w:p>
        </w:tc>
        <w:tc>
          <w:tcPr>
            <w:tcW w:w="1236" w:type="dxa"/>
          </w:tcPr>
          <w:p>
            <w:pPr>
              <w:spacing w:after="0" w:line="240" w:lineRule="auto"/>
              <w:jc w:val="both"/>
              <w:rPr>
                <w:color w:val="auto"/>
                <w:szCs w:val="24"/>
              </w:rPr>
            </w:pPr>
            <w:r>
              <w:rPr>
                <w:color w:val="auto"/>
                <w:szCs w:val="24"/>
              </w:rPr>
              <w:t>1.2992</w:t>
            </w:r>
          </w:p>
          <w:p>
            <w:pPr>
              <w:spacing w:after="0" w:line="240" w:lineRule="auto"/>
              <w:jc w:val="both"/>
              <w:rPr>
                <w:color w:val="auto"/>
                <w:szCs w:val="24"/>
              </w:rPr>
            </w:pPr>
          </w:p>
        </w:tc>
        <w:tc>
          <w:tcPr>
            <w:tcW w:w="1031" w:type="dxa"/>
          </w:tcPr>
          <w:p>
            <w:pPr>
              <w:spacing w:after="0" w:line="240" w:lineRule="auto"/>
              <w:jc w:val="both"/>
              <w:rPr>
                <w:color w:val="auto"/>
                <w:szCs w:val="24"/>
              </w:rPr>
            </w:pPr>
            <w:r>
              <w:rPr>
                <w:color w:val="auto"/>
                <w:szCs w:val="24"/>
              </w:rPr>
              <w:t>1.1377</w:t>
            </w:r>
          </w:p>
        </w:tc>
        <w:tc>
          <w:tcPr>
            <w:tcW w:w="1649" w:type="dxa"/>
          </w:tcPr>
          <w:p>
            <w:pPr>
              <w:spacing w:after="0" w:line="240" w:lineRule="auto"/>
              <w:jc w:val="both"/>
              <w:rPr>
                <w:color w:val="auto"/>
                <w:szCs w:val="24"/>
              </w:rPr>
            </w:pPr>
            <w:r>
              <w:rPr>
                <w:color w:val="auto"/>
                <w:szCs w:val="24"/>
              </w:rPr>
              <w:t>13.05±0.28</w:t>
            </w:r>
          </w:p>
        </w:tc>
        <w:tc>
          <w:tcPr>
            <w:tcW w:w="1649" w:type="dxa"/>
          </w:tcPr>
          <w:p>
            <w:pPr>
              <w:spacing w:after="0" w:line="240" w:lineRule="auto"/>
              <w:jc w:val="both"/>
              <w:rPr>
                <w:color w:val="auto"/>
                <w:szCs w:val="24"/>
              </w:rPr>
            </w:pPr>
            <w:r>
              <w:rPr>
                <w:color w:val="auto"/>
                <w:szCs w:val="24"/>
              </w:rPr>
              <w:t>0.72±0.046</w:t>
            </w:r>
          </w:p>
        </w:tc>
        <w:tc>
          <w:tcPr>
            <w:tcW w:w="1648" w:type="dxa"/>
            <w:tcBorders>
              <w:right w:val="single" w:color="auto" w:sz="4" w:space="0"/>
            </w:tcBorders>
          </w:tcPr>
          <w:p>
            <w:pPr>
              <w:spacing w:after="0" w:line="240" w:lineRule="auto"/>
              <w:jc w:val="both"/>
              <w:rPr>
                <w:color w:val="auto"/>
                <w:szCs w:val="24"/>
              </w:rPr>
            </w:pPr>
            <w:r>
              <w:rPr>
                <w:color w:val="auto"/>
                <w:szCs w:val="24"/>
              </w:rPr>
              <w:t>12.34±0.043</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8" w:hRule="atLeast"/>
        </w:trPr>
        <w:tc>
          <w:tcPr>
            <w:tcW w:w="1503" w:type="dxa"/>
            <w:tcBorders>
              <w:left w:val="single" w:color="auto" w:sz="4" w:space="0"/>
            </w:tcBorders>
          </w:tcPr>
          <w:p>
            <w:pPr>
              <w:spacing w:after="0" w:line="240" w:lineRule="auto"/>
              <w:jc w:val="both"/>
              <w:rPr>
                <w:b/>
                <w:bCs/>
                <w:color w:val="auto"/>
                <w:szCs w:val="24"/>
              </w:rPr>
            </w:pPr>
            <w:r>
              <w:rPr>
                <w:b w:val="0"/>
                <w:bCs/>
                <w:color w:val="auto"/>
                <w:szCs w:val="24"/>
              </w:rPr>
              <w:t>40</w:t>
            </w:r>
          </w:p>
        </w:tc>
        <w:tc>
          <w:tcPr>
            <w:tcW w:w="884" w:type="dxa"/>
          </w:tcPr>
          <w:p>
            <w:pPr>
              <w:spacing w:after="0" w:line="240" w:lineRule="auto"/>
              <w:jc w:val="both"/>
              <w:rPr>
                <w:color w:val="auto"/>
                <w:szCs w:val="24"/>
              </w:rPr>
            </w:pPr>
            <w:r>
              <w:rPr>
                <w:color w:val="auto"/>
                <w:szCs w:val="24"/>
              </w:rPr>
              <w:t>1.1126</w:t>
            </w:r>
          </w:p>
        </w:tc>
        <w:tc>
          <w:tcPr>
            <w:tcW w:w="1236" w:type="dxa"/>
          </w:tcPr>
          <w:p>
            <w:pPr>
              <w:spacing w:after="0" w:line="240" w:lineRule="auto"/>
              <w:jc w:val="both"/>
              <w:rPr>
                <w:color w:val="auto"/>
                <w:szCs w:val="24"/>
              </w:rPr>
            </w:pPr>
            <w:r>
              <w:rPr>
                <w:color w:val="auto"/>
                <w:szCs w:val="24"/>
              </w:rPr>
              <w:t>1.3425</w:t>
            </w:r>
          </w:p>
          <w:p>
            <w:pPr>
              <w:spacing w:after="0" w:line="240" w:lineRule="auto"/>
              <w:jc w:val="both"/>
              <w:rPr>
                <w:color w:val="auto"/>
                <w:szCs w:val="24"/>
              </w:rPr>
            </w:pPr>
          </w:p>
        </w:tc>
        <w:tc>
          <w:tcPr>
            <w:tcW w:w="1031" w:type="dxa"/>
          </w:tcPr>
          <w:p>
            <w:pPr>
              <w:spacing w:after="0" w:line="240" w:lineRule="auto"/>
              <w:jc w:val="both"/>
              <w:rPr>
                <w:color w:val="auto"/>
                <w:szCs w:val="24"/>
              </w:rPr>
            </w:pPr>
            <w:r>
              <w:rPr>
                <w:color w:val="auto"/>
                <w:szCs w:val="24"/>
              </w:rPr>
              <w:t xml:space="preserve">0.9796 </w:t>
            </w:r>
          </w:p>
          <w:p>
            <w:pPr>
              <w:spacing w:after="0" w:line="240" w:lineRule="auto"/>
              <w:jc w:val="both"/>
              <w:rPr>
                <w:color w:val="auto"/>
                <w:szCs w:val="24"/>
              </w:rPr>
            </w:pPr>
          </w:p>
        </w:tc>
        <w:tc>
          <w:tcPr>
            <w:tcW w:w="1649" w:type="dxa"/>
          </w:tcPr>
          <w:p>
            <w:pPr>
              <w:spacing w:after="0" w:line="240" w:lineRule="auto"/>
              <w:jc w:val="both"/>
              <w:rPr>
                <w:color w:val="auto"/>
                <w:szCs w:val="24"/>
              </w:rPr>
            </w:pPr>
            <w:r>
              <w:rPr>
                <w:color w:val="auto"/>
                <w:szCs w:val="24"/>
              </w:rPr>
              <w:t>14.27±0.06</w:t>
            </w:r>
          </w:p>
        </w:tc>
        <w:tc>
          <w:tcPr>
            <w:tcW w:w="1649" w:type="dxa"/>
          </w:tcPr>
          <w:p>
            <w:pPr>
              <w:spacing w:after="0" w:line="240" w:lineRule="auto"/>
              <w:jc w:val="both"/>
              <w:rPr>
                <w:color w:val="auto"/>
                <w:szCs w:val="24"/>
              </w:rPr>
            </w:pPr>
            <w:r>
              <w:rPr>
                <w:color w:val="auto"/>
                <w:szCs w:val="24"/>
              </w:rPr>
              <w:t>1.55±0.056</w:t>
            </w:r>
          </w:p>
        </w:tc>
        <w:tc>
          <w:tcPr>
            <w:tcW w:w="1648" w:type="dxa"/>
            <w:tcBorders>
              <w:right w:val="single" w:color="auto" w:sz="4" w:space="0"/>
            </w:tcBorders>
          </w:tcPr>
          <w:p>
            <w:pPr>
              <w:spacing w:after="0" w:line="240" w:lineRule="auto"/>
              <w:jc w:val="both"/>
              <w:rPr>
                <w:color w:val="auto"/>
                <w:szCs w:val="24"/>
              </w:rPr>
            </w:pPr>
            <w:r>
              <w:rPr>
                <w:color w:val="auto"/>
                <w:szCs w:val="24"/>
              </w:rPr>
              <w:t>24.52±0.072</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8" w:hRule="atLeast"/>
        </w:trPr>
        <w:tc>
          <w:tcPr>
            <w:tcW w:w="1503" w:type="dxa"/>
            <w:tcBorders>
              <w:left w:val="single" w:color="auto" w:sz="4" w:space="0"/>
            </w:tcBorders>
          </w:tcPr>
          <w:p>
            <w:pPr>
              <w:spacing w:after="0" w:line="240" w:lineRule="auto"/>
              <w:jc w:val="both"/>
              <w:rPr>
                <w:b/>
                <w:bCs/>
                <w:color w:val="auto"/>
                <w:szCs w:val="24"/>
              </w:rPr>
            </w:pPr>
            <w:r>
              <w:rPr>
                <w:b w:val="0"/>
                <w:bCs/>
                <w:color w:val="auto"/>
                <w:szCs w:val="24"/>
              </w:rPr>
              <w:t>60</w:t>
            </w:r>
          </w:p>
        </w:tc>
        <w:tc>
          <w:tcPr>
            <w:tcW w:w="884" w:type="dxa"/>
          </w:tcPr>
          <w:p>
            <w:pPr>
              <w:spacing w:after="0" w:line="240" w:lineRule="auto"/>
              <w:jc w:val="both"/>
              <w:rPr>
                <w:color w:val="auto"/>
                <w:szCs w:val="24"/>
              </w:rPr>
            </w:pPr>
            <w:r>
              <w:rPr>
                <w:color w:val="auto"/>
                <w:szCs w:val="24"/>
              </w:rPr>
              <w:t>0.9496</w:t>
            </w:r>
          </w:p>
        </w:tc>
        <w:tc>
          <w:tcPr>
            <w:tcW w:w="1236" w:type="dxa"/>
          </w:tcPr>
          <w:p>
            <w:pPr>
              <w:spacing w:after="0" w:line="240" w:lineRule="auto"/>
              <w:jc w:val="both"/>
              <w:rPr>
                <w:color w:val="auto"/>
                <w:szCs w:val="24"/>
              </w:rPr>
            </w:pPr>
            <w:r>
              <w:rPr>
                <w:color w:val="auto"/>
                <w:szCs w:val="24"/>
              </w:rPr>
              <w:t xml:space="preserve">1.2777 </w:t>
            </w:r>
          </w:p>
          <w:p>
            <w:pPr>
              <w:spacing w:after="0" w:line="240" w:lineRule="auto"/>
              <w:jc w:val="both"/>
              <w:rPr>
                <w:color w:val="auto"/>
                <w:szCs w:val="24"/>
              </w:rPr>
            </w:pPr>
          </w:p>
        </w:tc>
        <w:tc>
          <w:tcPr>
            <w:tcW w:w="1031" w:type="dxa"/>
          </w:tcPr>
          <w:p>
            <w:pPr>
              <w:spacing w:after="0" w:line="240" w:lineRule="auto"/>
              <w:jc w:val="both"/>
              <w:rPr>
                <w:color w:val="auto"/>
                <w:szCs w:val="24"/>
              </w:rPr>
            </w:pPr>
            <w:r>
              <w:rPr>
                <w:color w:val="auto"/>
                <w:szCs w:val="24"/>
              </w:rPr>
              <w:t>0.7361</w:t>
            </w:r>
          </w:p>
          <w:p>
            <w:pPr>
              <w:spacing w:after="0" w:line="240" w:lineRule="auto"/>
              <w:jc w:val="both"/>
              <w:rPr>
                <w:color w:val="auto"/>
                <w:szCs w:val="24"/>
              </w:rPr>
            </w:pPr>
          </w:p>
        </w:tc>
        <w:tc>
          <w:tcPr>
            <w:tcW w:w="1649" w:type="dxa"/>
          </w:tcPr>
          <w:p>
            <w:pPr>
              <w:spacing w:after="0" w:line="240" w:lineRule="auto"/>
              <w:jc w:val="both"/>
              <w:rPr>
                <w:color w:val="auto"/>
                <w:szCs w:val="24"/>
              </w:rPr>
            </w:pPr>
            <w:r>
              <w:rPr>
                <w:rFonts w:eastAsia="Times New Roman"/>
                <w:color w:val="auto"/>
                <w:szCs w:val="24"/>
              </w:rPr>
              <w:t>26.83±0.04</w:t>
            </w:r>
          </w:p>
        </w:tc>
        <w:tc>
          <w:tcPr>
            <w:tcW w:w="1649" w:type="dxa"/>
          </w:tcPr>
          <w:p>
            <w:pPr>
              <w:spacing w:after="0" w:line="240" w:lineRule="auto"/>
              <w:jc w:val="both"/>
              <w:rPr>
                <w:color w:val="auto"/>
                <w:szCs w:val="24"/>
              </w:rPr>
            </w:pPr>
            <w:r>
              <w:rPr>
                <w:color w:val="auto"/>
                <w:szCs w:val="24"/>
              </w:rPr>
              <w:t>3.04±0.035</w:t>
            </w:r>
          </w:p>
        </w:tc>
        <w:tc>
          <w:tcPr>
            <w:tcW w:w="1648" w:type="dxa"/>
            <w:tcBorders>
              <w:right w:val="single" w:color="auto" w:sz="4" w:space="0"/>
            </w:tcBorders>
          </w:tcPr>
          <w:p>
            <w:pPr>
              <w:spacing w:after="0" w:line="240" w:lineRule="auto"/>
              <w:jc w:val="both"/>
              <w:rPr>
                <w:color w:val="auto"/>
                <w:szCs w:val="24"/>
              </w:rPr>
            </w:pPr>
            <w:r>
              <w:rPr>
                <w:color w:val="auto"/>
                <w:szCs w:val="24"/>
              </w:rPr>
              <w:t>43.27±0.009</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8" w:hRule="atLeast"/>
        </w:trPr>
        <w:tc>
          <w:tcPr>
            <w:tcW w:w="1503" w:type="dxa"/>
            <w:tcBorders>
              <w:left w:val="single" w:color="auto" w:sz="4" w:space="0"/>
            </w:tcBorders>
          </w:tcPr>
          <w:p>
            <w:pPr>
              <w:spacing w:after="0" w:line="240" w:lineRule="auto"/>
              <w:jc w:val="both"/>
              <w:rPr>
                <w:b/>
                <w:bCs/>
                <w:color w:val="auto"/>
                <w:szCs w:val="24"/>
              </w:rPr>
            </w:pPr>
            <w:r>
              <w:rPr>
                <w:b w:val="0"/>
                <w:bCs/>
                <w:color w:val="auto"/>
                <w:szCs w:val="24"/>
              </w:rPr>
              <w:t>80</w:t>
            </w:r>
          </w:p>
        </w:tc>
        <w:tc>
          <w:tcPr>
            <w:tcW w:w="884" w:type="dxa"/>
          </w:tcPr>
          <w:p>
            <w:pPr>
              <w:spacing w:after="0" w:line="240" w:lineRule="auto"/>
              <w:jc w:val="both"/>
              <w:rPr>
                <w:color w:val="auto"/>
                <w:szCs w:val="24"/>
              </w:rPr>
            </w:pPr>
            <w:r>
              <w:rPr>
                <w:color w:val="auto"/>
                <w:szCs w:val="24"/>
              </w:rPr>
              <w:t>0.8466</w:t>
            </w:r>
          </w:p>
        </w:tc>
        <w:tc>
          <w:tcPr>
            <w:tcW w:w="1236" w:type="dxa"/>
          </w:tcPr>
          <w:p>
            <w:pPr>
              <w:spacing w:after="0" w:line="240" w:lineRule="auto"/>
              <w:jc w:val="both"/>
              <w:rPr>
                <w:color w:val="auto"/>
                <w:szCs w:val="24"/>
              </w:rPr>
            </w:pPr>
            <w:r>
              <w:rPr>
                <w:color w:val="auto"/>
                <w:szCs w:val="24"/>
              </w:rPr>
              <w:t>1.2584</w:t>
            </w:r>
          </w:p>
          <w:p>
            <w:pPr>
              <w:spacing w:after="0" w:line="240" w:lineRule="auto"/>
              <w:jc w:val="both"/>
              <w:rPr>
                <w:color w:val="auto"/>
                <w:szCs w:val="24"/>
              </w:rPr>
            </w:pPr>
          </w:p>
        </w:tc>
        <w:tc>
          <w:tcPr>
            <w:tcW w:w="1031" w:type="dxa"/>
          </w:tcPr>
          <w:p>
            <w:pPr>
              <w:spacing w:after="0" w:line="240" w:lineRule="auto"/>
              <w:jc w:val="both"/>
              <w:rPr>
                <w:color w:val="auto"/>
                <w:szCs w:val="24"/>
              </w:rPr>
            </w:pPr>
            <w:r>
              <w:rPr>
                <w:color w:val="auto"/>
                <w:szCs w:val="24"/>
              </w:rPr>
              <w:t xml:space="preserve">0.5457 </w:t>
            </w:r>
          </w:p>
          <w:p>
            <w:pPr>
              <w:spacing w:after="0" w:line="240" w:lineRule="auto"/>
              <w:jc w:val="both"/>
              <w:rPr>
                <w:color w:val="auto"/>
                <w:szCs w:val="24"/>
              </w:rPr>
            </w:pPr>
          </w:p>
        </w:tc>
        <w:tc>
          <w:tcPr>
            <w:tcW w:w="1649" w:type="dxa"/>
          </w:tcPr>
          <w:p>
            <w:pPr>
              <w:spacing w:after="0" w:line="240" w:lineRule="auto"/>
              <w:jc w:val="both"/>
              <w:rPr>
                <w:color w:val="auto"/>
                <w:szCs w:val="24"/>
              </w:rPr>
            </w:pPr>
            <w:r>
              <w:rPr>
                <w:rFonts w:eastAsia="Times New Roman"/>
                <w:color w:val="auto"/>
                <w:szCs w:val="24"/>
              </w:rPr>
              <w:t>34.76±0.004</w:t>
            </w:r>
          </w:p>
        </w:tc>
        <w:tc>
          <w:tcPr>
            <w:tcW w:w="1649" w:type="dxa"/>
          </w:tcPr>
          <w:p>
            <w:pPr>
              <w:spacing w:after="0" w:line="240" w:lineRule="auto"/>
              <w:jc w:val="both"/>
              <w:rPr>
                <w:color w:val="auto"/>
                <w:szCs w:val="24"/>
              </w:rPr>
            </w:pPr>
            <w:r>
              <w:rPr>
                <w:color w:val="auto"/>
                <w:szCs w:val="24"/>
              </w:rPr>
              <w:t>7.27±0.047</w:t>
            </w:r>
          </w:p>
        </w:tc>
        <w:tc>
          <w:tcPr>
            <w:tcW w:w="1648" w:type="dxa"/>
            <w:tcBorders>
              <w:right w:val="single" w:color="auto" w:sz="4" w:space="0"/>
            </w:tcBorders>
          </w:tcPr>
          <w:p>
            <w:pPr>
              <w:spacing w:after="0" w:line="240" w:lineRule="auto"/>
              <w:jc w:val="both"/>
              <w:rPr>
                <w:color w:val="auto"/>
                <w:szCs w:val="24"/>
              </w:rPr>
            </w:pPr>
            <w:r>
              <w:rPr>
                <w:color w:val="auto"/>
                <w:szCs w:val="24"/>
              </w:rPr>
              <w:t>57.95±0.056</w:t>
            </w:r>
          </w:p>
        </w:tc>
      </w:tr>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78" w:hRule="atLeast"/>
        </w:trPr>
        <w:tc>
          <w:tcPr>
            <w:tcW w:w="1503" w:type="dxa"/>
            <w:tcBorders>
              <w:left w:val="single" w:color="auto" w:sz="4" w:space="0"/>
              <w:bottom w:val="single" w:color="auto" w:sz="4" w:space="0"/>
            </w:tcBorders>
          </w:tcPr>
          <w:p>
            <w:pPr>
              <w:spacing w:after="0" w:line="240" w:lineRule="auto"/>
              <w:jc w:val="both"/>
              <w:rPr>
                <w:b/>
                <w:bCs/>
                <w:color w:val="auto"/>
                <w:szCs w:val="24"/>
              </w:rPr>
            </w:pPr>
            <w:r>
              <w:rPr>
                <w:b w:val="0"/>
                <w:bCs/>
                <w:color w:val="auto"/>
                <w:szCs w:val="24"/>
              </w:rPr>
              <w:t>100</w:t>
            </w:r>
          </w:p>
        </w:tc>
        <w:tc>
          <w:tcPr>
            <w:tcW w:w="884" w:type="dxa"/>
            <w:tcBorders>
              <w:bottom w:val="single" w:color="auto" w:sz="4" w:space="0"/>
            </w:tcBorders>
          </w:tcPr>
          <w:p>
            <w:pPr>
              <w:spacing w:after="0" w:line="240" w:lineRule="auto"/>
              <w:jc w:val="both"/>
              <w:rPr>
                <w:color w:val="auto"/>
                <w:szCs w:val="24"/>
              </w:rPr>
            </w:pPr>
            <w:r>
              <w:rPr>
                <w:color w:val="auto"/>
                <w:szCs w:val="24"/>
              </w:rPr>
              <w:t>0.7196</w:t>
            </w:r>
          </w:p>
        </w:tc>
        <w:tc>
          <w:tcPr>
            <w:tcW w:w="1236" w:type="dxa"/>
            <w:tcBorders>
              <w:bottom w:val="single" w:color="auto" w:sz="4" w:space="0"/>
            </w:tcBorders>
          </w:tcPr>
          <w:p>
            <w:pPr>
              <w:spacing w:after="0" w:line="240" w:lineRule="auto"/>
              <w:jc w:val="both"/>
              <w:rPr>
                <w:color w:val="auto"/>
                <w:szCs w:val="24"/>
              </w:rPr>
            </w:pPr>
            <w:r>
              <w:rPr>
                <w:color w:val="auto"/>
                <w:szCs w:val="24"/>
              </w:rPr>
              <w:t xml:space="preserve">1.2034 </w:t>
            </w:r>
          </w:p>
        </w:tc>
        <w:tc>
          <w:tcPr>
            <w:tcW w:w="1031" w:type="dxa"/>
            <w:tcBorders>
              <w:bottom w:val="single" w:color="auto" w:sz="4" w:space="0"/>
            </w:tcBorders>
          </w:tcPr>
          <w:p>
            <w:pPr>
              <w:spacing w:after="0" w:line="240" w:lineRule="auto"/>
              <w:jc w:val="both"/>
              <w:rPr>
                <w:color w:val="auto"/>
                <w:szCs w:val="24"/>
              </w:rPr>
            </w:pPr>
            <w:r>
              <w:rPr>
                <w:color w:val="auto"/>
                <w:szCs w:val="24"/>
              </w:rPr>
              <w:t>0.3449</w:t>
            </w:r>
          </w:p>
        </w:tc>
        <w:tc>
          <w:tcPr>
            <w:tcW w:w="1649" w:type="dxa"/>
            <w:tcBorders>
              <w:bottom w:val="single" w:color="auto" w:sz="4" w:space="0"/>
            </w:tcBorders>
          </w:tcPr>
          <w:p>
            <w:pPr>
              <w:spacing w:after="0" w:line="240" w:lineRule="auto"/>
              <w:jc w:val="both"/>
              <w:rPr>
                <w:color w:val="auto"/>
                <w:szCs w:val="24"/>
              </w:rPr>
            </w:pPr>
            <w:r>
              <w:rPr>
                <w:rFonts w:eastAsia="Times New Roman"/>
                <w:color w:val="auto"/>
                <w:szCs w:val="24"/>
              </w:rPr>
              <w:t>44.55±0.036</w:t>
            </w:r>
          </w:p>
        </w:tc>
        <w:tc>
          <w:tcPr>
            <w:tcW w:w="1649" w:type="dxa"/>
            <w:tcBorders>
              <w:bottom w:val="single" w:color="auto" w:sz="4" w:space="0"/>
            </w:tcBorders>
          </w:tcPr>
          <w:p>
            <w:pPr>
              <w:spacing w:after="0" w:line="240" w:lineRule="auto"/>
              <w:jc w:val="both"/>
              <w:rPr>
                <w:color w:val="auto"/>
                <w:szCs w:val="24"/>
              </w:rPr>
            </w:pPr>
            <w:r>
              <w:rPr>
                <w:color w:val="auto"/>
                <w:szCs w:val="24"/>
              </w:rPr>
              <w:t>9.15±0.109</w:t>
            </w:r>
          </w:p>
        </w:tc>
        <w:tc>
          <w:tcPr>
            <w:tcW w:w="1648" w:type="dxa"/>
            <w:tcBorders>
              <w:bottom w:val="single" w:color="auto" w:sz="4" w:space="0"/>
              <w:right w:val="single" w:color="auto" w:sz="4" w:space="0"/>
            </w:tcBorders>
          </w:tcPr>
          <w:p>
            <w:pPr>
              <w:spacing w:after="0" w:line="240" w:lineRule="auto"/>
              <w:jc w:val="both"/>
              <w:rPr>
                <w:color w:val="auto"/>
                <w:szCs w:val="24"/>
              </w:rPr>
            </w:pPr>
            <w:r>
              <w:rPr>
                <w:color w:val="auto"/>
                <w:szCs w:val="24"/>
              </w:rPr>
              <w:t>73.42±0.094</w:t>
            </w:r>
          </w:p>
        </w:tc>
      </w:tr>
    </w:tbl>
    <w:p>
      <w:pPr>
        <w:pStyle w:val="28"/>
        <w:numPr>
          <w:ilvl w:val="0"/>
          <w:numId w:val="2"/>
        </w:numPr>
        <w:jc w:val="both"/>
        <w:rPr>
          <w:szCs w:val="24"/>
        </w:rPr>
      </w:pPr>
      <w:r>
        <w:rPr>
          <w:szCs w:val="24"/>
        </w:rPr>
        <w:t>Data are expressed as the average mean of triplicate of the absorbance ± SD.</w:t>
      </w:r>
      <w:r>
        <w:rPr>
          <w:szCs w:val="24"/>
        </w:rPr>
        <w:tab/>
      </w:r>
    </w:p>
    <w:p>
      <w:pPr>
        <w:jc w:val="both"/>
        <w:rPr>
          <w:szCs w:val="24"/>
        </w:rPr>
      </w:pPr>
      <w:r>
        <w:rPr>
          <w:szCs w:val="24"/>
        </w:rPr>
        <w:t xml:space="preserve">From the above Table 5 the radical scavenging effect was found to increase generally with increasing concentrations.  The standard ascorbic acid and the plant extracts showed their maximum activity at: standard (73.42±0.094%), methanol (44.55±0.036%) and chloroform (9.15±0.109%). DPPH radical scavenging activity assay assesses the capacity of the extract to donate hydrogen or to scavenge free radicals. The results showed that the methanol extract of the plant exhibited the higher radical scavenging activity with 44.55±0.036%, while the chloroform extract exhibited the lower radical scavenging activity. In both cases the solvent extract exhibits lower antioxidant power than the standard ascorbic acid. It is may be related with its phytochemical constituents which means chloroform extract of the plants were not confirmed the presence of the phenols and tannins. Phenols are good H-donating antioxidants, which scavenge reactive oxygen species and breaks the cycle of generation of new radicals.  </w:t>
      </w:r>
    </w:p>
    <w:p>
      <w:pPr>
        <w:jc w:val="both"/>
        <w:rPr>
          <w:szCs w:val="24"/>
        </w:rPr>
      </w:pPr>
      <w:r>
        <w:rPr>
          <w:szCs w:val="24"/>
        </w:rPr>
        <w:t>The graph of the extracts and standard shown below</w:t>
      </w:r>
    </w:p>
    <w:p>
      <w:pPr>
        <w:jc w:val="both"/>
        <w:rPr>
          <w:szCs w:val="24"/>
        </w:rPr>
      </w:pPr>
      <w:r>
        <w:rPr>
          <w:szCs w:val="24"/>
        </w:rPr>
        <w:drawing>
          <wp:inline distT="0" distB="0" distL="0" distR="0">
            <wp:extent cx="5370195" cy="3077845"/>
            <wp:effectExtent l="19050" t="0" r="20955" b="8255"/>
            <wp:docPr id="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jc w:val="both"/>
        <w:rPr>
          <w:szCs w:val="24"/>
        </w:rPr>
      </w:pPr>
      <w:r>
        <w:rPr>
          <w:b/>
          <w:szCs w:val="24"/>
        </w:rPr>
        <w:t>Key:</w:t>
      </w:r>
      <w:r>
        <w:rPr>
          <w:szCs w:val="24"/>
        </w:rPr>
        <w:t xml:space="preserve"> ST: standard; M: Methanol and Ch: Chloroform</w:t>
      </w:r>
    </w:p>
    <w:p>
      <w:pPr>
        <w:jc w:val="both"/>
        <w:rPr>
          <w:szCs w:val="24"/>
        </w:rPr>
      </w:pPr>
      <w:r>
        <w:rPr>
          <w:szCs w:val="24"/>
        </w:rPr>
        <w:t>Graph1: % inhibition of the sample and ascorbic acid versus concentration.</w:t>
      </w:r>
    </w:p>
    <w:p>
      <w:pPr>
        <w:pStyle w:val="6"/>
        <w:jc w:val="both"/>
        <w:rPr>
          <w:rFonts w:ascii="Times New Roman" w:hAnsi="Times New Roman" w:cs="Times New Roman"/>
          <w:sz w:val="24"/>
          <w:szCs w:val="24"/>
        </w:rPr>
      </w:pPr>
    </w:p>
    <w:p>
      <w:pPr>
        <w:jc w:val="both"/>
      </w:pPr>
    </w:p>
    <w:p>
      <w:pPr>
        <w:jc w:val="both"/>
      </w:pPr>
    </w:p>
    <w:p>
      <w:pPr>
        <w:jc w:val="both"/>
      </w:pPr>
    </w:p>
    <w:p>
      <w:pPr>
        <w:jc w:val="both"/>
      </w:pPr>
    </w:p>
    <w:p>
      <w:pPr>
        <w:pStyle w:val="2"/>
        <w:tabs>
          <w:tab w:val="left" w:pos="2677"/>
        </w:tabs>
        <w:jc w:val="both"/>
        <w:rPr>
          <w:rFonts w:ascii="Times New Roman" w:hAnsi="Times New Roman"/>
          <w:color w:val="auto"/>
        </w:rPr>
      </w:pPr>
    </w:p>
    <w:p/>
    <w:p>
      <w:pPr>
        <w:pStyle w:val="2"/>
        <w:rPr>
          <w:rFonts w:ascii="Times New Roman" w:hAnsi="Times New Roman"/>
          <w:color w:val="auto"/>
        </w:rPr>
      </w:pPr>
      <w:bookmarkStart w:id="74" w:name="_Toc14248"/>
      <w:r>
        <w:rPr>
          <w:color w:val="auto"/>
        </w:rPr>
        <w:t>5. CONCLUSION AND RECOMMENDATION</w:t>
      </w:r>
      <w:bookmarkEnd w:id="74"/>
    </w:p>
    <w:p>
      <w:pPr>
        <w:pStyle w:val="3"/>
        <w:rPr>
          <w:color w:val="auto"/>
        </w:rPr>
      </w:pPr>
      <w:bookmarkStart w:id="75" w:name="_Toc4383"/>
      <w:r>
        <w:rPr>
          <w:color w:val="auto"/>
        </w:rPr>
        <w:t>5.1 Conclusion</w:t>
      </w:r>
      <w:bookmarkEnd w:id="75"/>
      <w:r>
        <w:rPr>
          <w:color w:val="auto"/>
        </w:rPr>
        <w:tab/>
      </w:r>
    </w:p>
    <w:p>
      <w:pPr>
        <w:jc w:val="both"/>
        <w:rPr>
          <w:szCs w:val="24"/>
        </w:rPr>
      </w:pPr>
      <w:r>
        <w:rPr>
          <w:szCs w:val="24"/>
        </w:rPr>
        <w:t xml:space="preserve">Phytochemical study of the two organic extracts of </w:t>
      </w:r>
      <w:r>
        <w:rPr>
          <w:i/>
          <w:szCs w:val="24"/>
        </w:rPr>
        <w:t>V. sinaiticum</w:t>
      </w:r>
      <w:r>
        <w:rPr>
          <w:szCs w:val="24"/>
        </w:rPr>
        <w:t xml:space="preserve"> was useful to provide information on the potential of these plants as a source of secondary metabolites. At the same time, it also provides data on the characteristics of the extraction method using solvents of varying polarities. In this study, it was showed that the methanol extract contains the high quantity of secondary metabolites. There is a positive correlation between the phytochemical constituents in the extracts and the antioxidant activity. It was showed also that </w:t>
      </w:r>
      <w:r>
        <w:rPr>
          <w:i/>
          <w:szCs w:val="24"/>
        </w:rPr>
        <w:t>V. sinaiticum</w:t>
      </w:r>
      <w:r>
        <w:rPr>
          <w:szCs w:val="24"/>
        </w:rPr>
        <w:t xml:space="preserve"> plant is rich in phenolic, tannin, glycosides and etc. The ferric reducing antioxidant power and the DPPH assay showed that the plant has potent antioxidant activity. </w:t>
      </w:r>
    </w:p>
    <w:p>
      <w:pPr>
        <w:pStyle w:val="3"/>
        <w:rPr>
          <w:color w:val="auto"/>
        </w:rPr>
      </w:pPr>
      <w:bookmarkStart w:id="76" w:name="_Toc18979"/>
      <w:r>
        <w:rPr>
          <w:color w:val="auto"/>
        </w:rPr>
        <w:t>5.2 Recommendation</w:t>
      </w:r>
      <w:bookmarkEnd w:id="76"/>
    </w:p>
    <w:p>
      <w:pPr>
        <w:jc w:val="both"/>
        <w:rPr>
          <w:szCs w:val="24"/>
        </w:rPr>
      </w:pPr>
      <w:r>
        <w:rPr>
          <w:szCs w:val="24"/>
        </w:rPr>
        <w:t>Based on this research finding, the following recommendations are forwarded.</w:t>
      </w:r>
    </w:p>
    <w:p>
      <w:pPr>
        <w:pStyle w:val="34"/>
        <w:numPr>
          <w:ilvl w:val="0"/>
          <w:numId w:val="3"/>
        </w:numPr>
        <w:jc w:val="both"/>
        <w:rPr>
          <w:rFonts w:ascii="Times New Roman" w:hAnsi="Times New Roman"/>
          <w:sz w:val="24"/>
          <w:szCs w:val="24"/>
        </w:rPr>
      </w:pPr>
      <w:r>
        <w:rPr>
          <w:rFonts w:ascii="Times New Roman" w:hAnsi="Times New Roman"/>
          <w:sz w:val="24"/>
          <w:szCs w:val="24"/>
        </w:rPr>
        <w:t>Extraction is may be effect if it by ethyl acetate rather than chloroform.</w:t>
      </w:r>
    </w:p>
    <w:p>
      <w:pPr>
        <w:pStyle w:val="34"/>
        <w:numPr>
          <w:ilvl w:val="0"/>
          <w:numId w:val="3"/>
        </w:numPr>
        <w:spacing w:after="0" w:line="360" w:lineRule="auto"/>
        <w:jc w:val="both"/>
        <w:rPr>
          <w:rFonts w:ascii="Times New Roman" w:hAnsi="Times New Roman"/>
          <w:sz w:val="24"/>
          <w:szCs w:val="24"/>
        </w:rPr>
      </w:pPr>
      <w:r>
        <w:rPr>
          <w:rFonts w:ascii="Times New Roman" w:hAnsi="Times New Roman"/>
          <w:sz w:val="24"/>
          <w:szCs w:val="24"/>
        </w:rPr>
        <w:t>Chemical compounds in isolating having significant positive or negative effects antimicrobial should be studied in detail for their specific effect.</w:t>
      </w:r>
    </w:p>
    <w:p>
      <w:pPr>
        <w:pStyle w:val="34"/>
        <w:numPr>
          <w:ilvl w:val="0"/>
          <w:numId w:val="3"/>
        </w:numPr>
        <w:jc w:val="both"/>
        <w:rPr>
          <w:rFonts w:ascii="Times New Roman" w:hAnsi="Times New Roman"/>
          <w:sz w:val="24"/>
          <w:szCs w:val="24"/>
        </w:rPr>
      </w:pPr>
      <w:r>
        <w:rPr>
          <w:rFonts w:ascii="Times New Roman" w:hAnsi="Times New Roman"/>
          <w:sz w:val="24"/>
          <w:szCs w:val="24"/>
        </w:rPr>
        <w:t>To determine the active compounds responsible for the killing effect of the potent extracts, it is essential to fractionate the extracts and test each component separately.</w:t>
      </w:r>
    </w:p>
    <w:p>
      <w:pPr>
        <w:pStyle w:val="34"/>
        <w:numPr>
          <w:ilvl w:val="0"/>
          <w:numId w:val="3"/>
        </w:numPr>
        <w:spacing w:after="0" w:line="360" w:lineRule="auto"/>
        <w:jc w:val="both"/>
        <w:rPr>
          <w:rFonts w:ascii="Times New Roman" w:hAnsi="Times New Roman"/>
          <w:sz w:val="24"/>
          <w:szCs w:val="24"/>
        </w:rPr>
      </w:pPr>
      <w:r>
        <w:rPr>
          <w:rFonts w:ascii="Times New Roman" w:hAnsi="Times New Roman"/>
          <w:sz w:val="24"/>
          <w:szCs w:val="24"/>
        </w:rPr>
        <w:t>Structural elucidation and specific extraction can also possible rather than all phytochemical extraction.  Like alkaloids and phenols compound extraction.</w:t>
      </w:r>
    </w:p>
    <w:p>
      <w:pPr>
        <w:pStyle w:val="34"/>
        <w:numPr>
          <w:ilvl w:val="0"/>
          <w:numId w:val="3"/>
        </w:numPr>
        <w:spacing w:after="0" w:line="360" w:lineRule="auto"/>
        <w:jc w:val="both"/>
        <w:rPr>
          <w:szCs w:val="24"/>
        </w:rPr>
      </w:pPr>
      <w:r>
        <w:rPr>
          <w:rFonts w:ascii="Times New Roman" w:hAnsi="Times New Roman"/>
          <w:sz w:val="24"/>
          <w:szCs w:val="24"/>
        </w:rPr>
        <w:t xml:space="preserve">Other antioxidant properties can also be analyzes </w:t>
      </w:r>
    </w:p>
    <w:p>
      <w:pPr>
        <w:pStyle w:val="2"/>
        <w:jc w:val="both"/>
        <w:rPr>
          <w:rFonts w:ascii="Times New Roman" w:hAnsi="Times New Roman"/>
          <w:color w:val="auto"/>
          <w:sz w:val="24"/>
          <w:szCs w:val="24"/>
        </w:rPr>
      </w:pPr>
    </w:p>
    <w:p/>
    <w:p>
      <w:pPr>
        <w:pStyle w:val="2"/>
        <w:jc w:val="both"/>
        <w:rPr>
          <w:rFonts w:ascii="Times New Roman" w:hAnsi="Times New Roman"/>
          <w:color w:val="auto"/>
          <w:sz w:val="24"/>
          <w:szCs w:val="24"/>
        </w:rPr>
      </w:pPr>
      <w:bookmarkStart w:id="77" w:name="_Toc7689"/>
      <w:r>
        <w:rPr>
          <w:rFonts w:ascii="Times New Roman" w:hAnsi="Times New Roman"/>
          <w:color w:val="auto"/>
          <w:sz w:val="24"/>
          <w:szCs w:val="24"/>
        </w:rPr>
        <w:t>REFERENCE</w:t>
      </w:r>
      <w:bookmarkEnd w:id="77"/>
    </w:p>
    <w:p>
      <w:pPr>
        <w:jc w:val="both"/>
        <w:rPr>
          <w:rFonts w:eastAsia="Times New Roman"/>
          <w:szCs w:val="24"/>
        </w:rPr>
      </w:pPr>
      <w:r>
        <w:rPr>
          <w:rFonts w:eastAsia="Times New Roman"/>
          <w:szCs w:val="24"/>
        </w:rPr>
        <w:t xml:space="preserve">1) World Health Organization. (2001). Legal status of traditional medicine andcomplementary/Alternative medicine: A World Wide Review. Geneva. </w:t>
      </w:r>
    </w:p>
    <w:p>
      <w:pPr>
        <w:jc w:val="both"/>
        <w:rPr>
          <w:rFonts w:eastAsia="Times New Roman"/>
          <w:szCs w:val="24"/>
        </w:rPr>
      </w:pPr>
      <w:r>
        <w:rPr>
          <w:rFonts w:eastAsia="Times New Roman"/>
          <w:szCs w:val="24"/>
        </w:rPr>
        <w:t xml:space="preserve">2) Mazid, M., Khan, T.A., and Mohammad, F. (2012). Medicinal plants of rural India: A review of use by Indian folks. </w:t>
      </w:r>
      <w:r>
        <w:rPr>
          <w:rFonts w:eastAsia="Times New Roman"/>
          <w:i/>
          <w:szCs w:val="24"/>
        </w:rPr>
        <w:t xml:space="preserve">Indo Global Journal of Pharmaceutical Sciences </w:t>
      </w:r>
      <w:r>
        <w:rPr>
          <w:rFonts w:eastAsia="Times New Roman"/>
          <w:b/>
          <w:szCs w:val="24"/>
        </w:rPr>
        <w:t>2</w:t>
      </w:r>
      <w:r>
        <w:rPr>
          <w:rFonts w:eastAsia="Times New Roman"/>
          <w:szCs w:val="24"/>
        </w:rPr>
        <w:t>(3):  286</w:t>
      </w:r>
      <w:r>
        <w:rPr>
          <w:rFonts w:eastAsia="Cambria Math"/>
          <w:szCs w:val="24"/>
        </w:rPr>
        <w:t xml:space="preserve">- </w:t>
      </w:r>
      <w:r>
        <w:rPr>
          <w:rFonts w:eastAsia="Times New Roman"/>
          <w:szCs w:val="24"/>
        </w:rPr>
        <w:t>304.</w:t>
      </w:r>
    </w:p>
    <w:p>
      <w:pPr>
        <w:jc w:val="both"/>
        <w:rPr>
          <w:rFonts w:eastAsia="Times New Roman"/>
          <w:szCs w:val="24"/>
        </w:rPr>
      </w:pPr>
      <w:r>
        <w:rPr>
          <w:rFonts w:eastAsia="Times New Roman"/>
          <w:i/>
          <w:szCs w:val="24"/>
        </w:rPr>
        <w:t xml:space="preserve">3) </w:t>
      </w:r>
      <w:r>
        <w:rPr>
          <w:rFonts w:eastAsia="Times New Roman"/>
          <w:szCs w:val="24"/>
        </w:rPr>
        <w:t>Ebenezer, O., Farombi, O., and Olatunde, O. (2011</w:t>
      </w:r>
      <w:r>
        <w:rPr>
          <w:rFonts w:eastAsia="Times New Roman"/>
          <w:i/>
          <w:szCs w:val="24"/>
        </w:rPr>
        <w:t xml:space="preserve">). </w:t>
      </w:r>
      <w:r>
        <w:rPr>
          <w:rFonts w:eastAsia="Times New Roman"/>
          <w:szCs w:val="24"/>
        </w:rPr>
        <w:t xml:space="preserve">Antioxidative and chemopreventive properties of </w:t>
      </w:r>
      <w:r>
        <w:rPr>
          <w:rFonts w:eastAsia="Times New Roman"/>
          <w:i/>
          <w:iCs/>
          <w:szCs w:val="24"/>
        </w:rPr>
        <w:t xml:space="preserve">vernonia amygdalina </w:t>
      </w:r>
      <w:r>
        <w:rPr>
          <w:rFonts w:eastAsia="Times New Roman"/>
          <w:szCs w:val="24"/>
        </w:rPr>
        <w:t xml:space="preserve">and </w:t>
      </w:r>
      <w:r>
        <w:rPr>
          <w:rFonts w:eastAsia="Times New Roman"/>
          <w:i/>
          <w:iCs/>
          <w:szCs w:val="24"/>
        </w:rPr>
        <w:t>garcinia biflavonoid</w:t>
      </w:r>
      <w:r>
        <w:rPr>
          <w:rFonts w:eastAsia="Times New Roman"/>
          <w:szCs w:val="24"/>
        </w:rPr>
        <w:t xml:space="preserve">. </w:t>
      </w:r>
      <w:r>
        <w:rPr>
          <w:rFonts w:eastAsia="Times New Roman"/>
          <w:i/>
          <w:szCs w:val="24"/>
        </w:rPr>
        <w:t xml:space="preserve">Int. J. Environ. Res. Public Health </w:t>
      </w:r>
      <w:r>
        <w:rPr>
          <w:rFonts w:eastAsia="Times New Roman"/>
          <w:b/>
          <w:i/>
          <w:szCs w:val="24"/>
        </w:rPr>
        <w:t>8</w:t>
      </w:r>
      <w:r>
        <w:rPr>
          <w:rFonts w:eastAsia="Times New Roman"/>
          <w:i/>
          <w:szCs w:val="24"/>
        </w:rPr>
        <w:t xml:space="preserve">, 2533-2555 </w:t>
      </w:r>
    </w:p>
    <w:p>
      <w:pPr>
        <w:jc w:val="both"/>
        <w:rPr>
          <w:rFonts w:eastAsia="Times New Roman"/>
          <w:szCs w:val="24"/>
        </w:rPr>
      </w:pPr>
      <w:r>
        <w:rPr>
          <w:rFonts w:eastAsia="Times New Roman"/>
          <w:i/>
          <w:szCs w:val="24"/>
        </w:rPr>
        <w:t xml:space="preserve">4) </w:t>
      </w:r>
      <w:r>
        <w:rPr>
          <w:rFonts w:eastAsia="Times New Roman"/>
          <w:szCs w:val="24"/>
        </w:rPr>
        <w:t>Mirutse, G., Tilahun, T., Abebe, A., and Yalemtsehay, M. (2007</w:t>
      </w:r>
      <w:r>
        <w:rPr>
          <w:rFonts w:eastAsia="Times New Roman"/>
          <w:i/>
          <w:szCs w:val="24"/>
        </w:rPr>
        <w:t xml:space="preserve">). </w:t>
      </w:r>
      <w:r>
        <w:rPr>
          <w:rFonts w:eastAsia="Times New Roman"/>
          <w:iCs/>
          <w:szCs w:val="24"/>
        </w:rPr>
        <w:t>Medicinal plants of the Shinasha, Agew-awi and Amhara peoples in northwest Ethiopia</w:t>
      </w:r>
      <w:r>
        <w:rPr>
          <w:rFonts w:eastAsia="Times New Roman"/>
          <w:i/>
          <w:szCs w:val="24"/>
        </w:rPr>
        <w:t xml:space="preserve">. Journal of Ethnopharmacology </w:t>
      </w:r>
      <w:r>
        <w:rPr>
          <w:rFonts w:eastAsia="Times New Roman"/>
          <w:b/>
          <w:i/>
          <w:szCs w:val="24"/>
        </w:rPr>
        <w:t xml:space="preserve">110, </w:t>
      </w:r>
      <w:r>
        <w:rPr>
          <w:rFonts w:eastAsia="Times New Roman"/>
          <w:i/>
          <w:szCs w:val="24"/>
        </w:rPr>
        <w:t xml:space="preserve">516–525. </w:t>
      </w:r>
    </w:p>
    <w:p>
      <w:pPr>
        <w:jc w:val="both"/>
        <w:rPr>
          <w:rFonts w:eastAsia="Times New Roman"/>
          <w:szCs w:val="24"/>
        </w:rPr>
      </w:pPr>
      <w:r>
        <w:rPr>
          <w:rFonts w:eastAsia="Times New Roman"/>
          <w:i/>
          <w:szCs w:val="24"/>
        </w:rPr>
        <w:t xml:space="preserve">5) </w:t>
      </w:r>
      <w:r>
        <w:rPr>
          <w:rFonts w:eastAsia="Times New Roman"/>
          <w:szCs w:val="24"/>
        </w:rPr>
        <w:t xml:space="preserve">Fullas, F. (2010). Ethiopian medicinal plants in veterinary health care. </w:t>
      </w:r>
      <w:r>
        <w:rPr>
          <w:rFonts w:eastAsia="Times New Roman"/>
          <w:i/>
          <w:szCs w:val="24"/>
        </w:rPr>
        <w:t xml:space="preserve">Ethiopian ejournal for research and innovation </w:t>
      </w:r>
      <w:r>
        <w:rPr>
          <w:rFonts w:eastAsia="Times New Roman"/>
          <w:b/>
          <w:i/>
          <w:szCs w:val="24"/>
        </w:rPr>
        <w:t>2</w:t>
      </w:r>
      <w:r>
        <w:rPr>
          <w:rFonts w:eastAsia="Times New Roman"/>
          <w:i/>
          <w:szCs w:val="24"/>
        </w:rPr>
        <w:t xml:space="preserve">: 48-58 </w:t>
      </w:r>
    </w:p>
    <w:p>
      <w:pPr>
        <w:jc w:val="both"/>
        <w:rPr>
          <w:rFonts w:eastAsia="Times New Roman"/>
          <w:szCs w:val="24"/>
        </w:rPr>
      </w:pPr>
      <w:r>
        <w:rPr>
          <w:rFonts w:eastAsia="Times New Roman"/>
          <w:i/>
          <w:szCs w:val="24"/>
        </w:rPr>
        <w:t xml:space="preserve">6) </w:t>
      </w:r>
      <w:r>
        <w:rPr>
          <w:rFonts w:eastAsia="Times New Roman"/>
          <w:szCs w:val="24"/>
        </w:rPr>
        <w:t xml:space="preserve">Abebe, D. (2003). Medicinal plants and other useful plants of Ethiopia.  </w:t>
      </w:r>
      <w:r>
        <w:rPr>
          <w:rFonts w:eastAsia="Times New Roman"/>
          <w:i/>
          <w:szCs w:val="24"/>
        </w:rPr>
        <w:t xml:space="preserve">Journal of Ethiopian Health and Nutrition Institution; 205-218 </w:t>
      </w:r>
    </w:p>
    <w:p>
      <w:pPr>
        <w:jc w:val="both"/>
        <w:rPr>
          <w:rFonts w:eastAsia="Times New Roman"/>
          <w:szCs w:val="24"/>
        </w:rPr>
      </w:pPr>
      <w:r>
        <w:rPr>
          <w:rFonts w:eastAsia="Times New Roman"/>
          <w:i/>
          <w:szCs w:val="24"/>
        </w:rPr>
        <w:t xml:space="preserve">7) </w:t>
      </w:r>
      <w:r>
        <w:fldChar w:fldCharType="begin"/>
      </w:r>
      <w:r>
        <w:instrText xml:space="preserve"> HYPERLINK "http://www.ethnobiomed.com/content/10/1/38" </w:instrText>
      </w:r>
      <w:r>
        <w:fldChar w:fldCharType="separate"/>
      </w:r>
      <w:r>
        <w:rPr>
          <w:rStyle w:val="14"/>
          <w:rFonts w:eastAsia="Times New Roman"/>
          <w:color w:val="auto"/>
          <w:szCs w:val="24"/>
        </w:rPr>
        <w:t>http://www.ethnobiomed.com/content/10/1/38</w:t>
      </w:r>
      <w:r>
        <w:rPr>
          <w:rStyle w:val="14"/>
          <w:rFonts w:eastAsia="Times New Roman"/>
          <w:color w:val="auto"/>
          <w:szCs w:val="24"/>
        </w:rPr>
        <w:fldChar w:fldCharType="end"/>
      </w:r>
      <w:r>
        <w:rPr>
          <w:rFonts w:eastAsia="Times New Roman"/>
          <w:szCs w:val="24"/>
        </w:rPr>
        <w:t xml:space="preserve">   viewed on April 21, 2018  </w:t>
      </w:r>
    </w:p>
    <w:p>
      <w:pPr>
        <w:jc w:val="both"/>
        <w:rPr>
          <w:rFonts w:eastAsia="Times New Roman"/>
          <w:szCs w:val="24"/>
        </w:rPr>
      </w:pPr>
      <w:r>
        <w:rPr>
          <w:rFonts w:eastAsia="Times New Roman"/>
          <w:szCs w:val="24"/>
        </w:rPr>
        <w:t xml:space="preserve">8) Claire, E., Scantlebury, L., Jane, J., Jacqui, B., Matthews, A., Getachew M., Gebre T., and Gina, L. (2013). Participatory study of medicinal plants used in the control of gastrointestinal parasites in donkeys in Eastern Shewa and Arsi zones of Oromia region, Ethiopia </w:t>
      </w:r>
      <w:r>
        <w:rPr>
          <w:rFonts w:eastAsia="Times New Roman"/>
          <w:i/>
          <w:szCs w:val="24"/>
        </w:rPr>
        <w:t xml:space="preserve">Veterinary Research </w:t>
      </w:r>
      <w:r>
        <w:rPr>
          <w:rFonts w:eastAsia="Times New Roman"/>
          <w:szCs w:val="24"/>
        </w:rPr>
        <w:t>9:179</w:t>
      </w:r>
    </w:p>
    <w:p>
      <w:pPr>
        <w:jc w:val="both"/>
        <w:rPr>
          <w:rFonts w:eastAsia="Times New Roman"/>
          <w:szCs w:val="24"/>
        </w:rPr>
      </w:pPr>
      <w:r>
        <w:rPr>
          <w:rFonts w:eastAsia="Times New Roman"/>
          <w:i/>
          <w:szCs w:val="24"/>
        </w:rPr>
        <w:t xml:space="preserve">9) </w:t>
      </w:r>
      <w:r>
        <w:rPr>
          <w:rFonts w:eastAsia="Times New Roman"/>
          <w:szCs w:val="24"/>
        </w:rPr>
        <w:t xml:space="preserve">Teklehaymanot, T., Giday, M., Medhin, G., and Mekonnen,Y. (2007). Knowledge and use of medicinal plants by people around Debre Libanos monastery in Ethiopia. </w:t>
      </w:r>
      <w:r>
        <w:rPr>
          <w:rFonts w:eastAsia="Times New Roman"/>
          <w:i/>
          <w:szCs w:val="24"/>
        </w:rPr>
        <w:t xml:space="preserve">Journal of Ethnopharmacol </w:t>
      </w:r>
      <w:r>
        <w:rPr>
          <w:rFonts w:eastAsia="Times New Roman"/>
          <w:b/>
          <w:i/>
          <w:szCs w:val="24"/>
        </w:rPr>
        <w:t>111</w:t>
      </w:r>
      <w:r>
        <w:rPr>
          <w:rFonts w:eastAsia="Times New Roman"/>
          <w:i/>
          <w:szCs w:val="24"/>
        </w:rPr>
        <w:t xml:space="preserve">: 271-283. </w:t>
      </w:r>
    </w:p>
    <w:p>
      <w:pPr>
        <w:jc w:val="both"/>
        <w:rPr>
          <w:rFonts w:eastAsia="Times New Roman"/>
          <w:szCs w:val="24"/>
        </w:rPr>
      </w:pPr>
      <w:r>
        <w:rPr>
          <w:rFonts w:eastAsia="Times New Roman"/>
          <w:szCs w:val="24"/>
        </w:rPr>
        <w:t xml:space="preserve">10) Teklehaymanot, T. (2009). Ethnobotanical study of knowledge and medicinal plants use by the people in Dek Island in Ethiopia. </w:t>
      </w:r>
      <w:r>
        <w:rPr>
          <w:rFonts w:eastAsia="Times New Roman"/>
          <w:i/>
          <w:szCs w:val="24"/>
        </w:rPr>
        <w:t>Ethnopharmacol ;</w:t>
      </w:r>
      <w:r>
        <w:rPr>
          <w:rFonts w:eastAsia="Times New Roman"/>
          <w:b/>
          <w:i/>
          <w:szCs w:val="24"/>
        </w:rPr>
        <w:t>124</w:t>
      </w:r>
      <w:r>
        <w:rPr>
          <w:rFonts w:eastAsia="Times New Roman"/>
          <w:i/>
          <w:szCs w:val="24"/>
        </w:rPr>
        <w:t xml:space="preserve">: 69-78. </w:t>
      </w:r>
    </w:p>
    <w:p>
      <w:pPr>
        <w:jc w:val="both"/>
        <w:rPr>
          <w:szCs w:val="24"/>
        </w:rPr>
      </w:pPr>
      <w:r>
        <w:rPr>
          <w:rFonts w:eastAsia="Times New Roman"/>
          <w:szCs w:val="24"/>
        </w:rPr>
        <w:t xml:space="preserve">11) Weldegerima, B., Teferra, A., and Muthuswamy, R. (2008). Ethno-Veterinary use of medicinal plants by traditional healers in Dabat District, North western Ethiopia. </w:t>
      </w:r>
      <w:r>
        <w:rPr>
          <w:rFonts w:eastAsia="Times New Roman"/>
          <w:i/>
          <w:szCs w:val="24"/>
        </w:rPr>
        <w:t xml:space="preserve">Phcog Mag; </w:t>
      </w:r>
      <w:r>
        <w:rPr>
          <w:rFonts w:eastAsia="Times New Roman"/>
          <w:szCs w:val="24"/>
        </w:rPr>
        <w:t>4(15).</w:t>
      </w:r>
    </w:p>
    <w:p>
      <w:pPr>
        <w:jc w:val="both"/>
        <w:rPr>
          <w:rFonts w:eastAsia="Times New Roman"/>
          <w:szCs w:val="24"/>
        </w:rPr>
      </w:pPr>
      <w:r>
        <w:rPr>
          <w:rFonts w:eastAsia="Times New Roman"/>
          <w:i/>
          <w:szCs w:val="24"/>
        </w:rPr>
        <w:t xml:space="preserve">12) </w:t>
      </w:r>
      <w:r>
        <w:rPr>
          <w:rFonts w:eastAsia="Times New Roman"/>
          <w:szCs w:val="24"/>
        </w:rPr>
        <w:t xml:space="preserve">Yineger, H., Kelbessa, E., Bekele, T., and Lulekal, E. (2007). Ethnoveterinary medicinal plants at Bale Mountains National Park, Ethiopia. </w:t>
      </w:r>
      <w:r>
        <w:rPr>
          <w:rFonts w:eastAsia="Times New Roman"/>
          <w:i/>
          <w:szCs w:val="24"/>
        </w:rPr>
        <w:t xml:space="preserve">Journal of Ethnopharmacology 112: 55-70. </w:t>
      </w:r>
    </w:p>
    <w:p>
      <w:pPr>
        <w:jc w:val="both"/>
        <w:rPr>
          <w:rFonts w:eastAsia="Times New Roman"/>
          <w:szCs w:val="24"/>
        </w:rPr>
      </w:pPr>
      <w:r>
        <w:rPr>
          <w:rFonts w:eastAsia="Times New Roman"/>
          <w:szCs w:val="24"/>
        </w:rPr>
        <w:t xml:space="preserve">13) Yineger, H. (2007). Ethnoveterinary medicinal plants at Bale Mountains National Park, Ethiopia, </w:t>
      </w:r>
      <w:r>
        <w:rPr>
          <w:rFonts w:eastAsia="Times New Roman"/>
          <w:i/>
          <w:szCs w:val="24"/>
        </w:rPr>
        <w:t>Journal of Ethnopharmacology  113: 45- 67</w:t>
      </w:r>
    </w:p>
    <w:p>
      <w:pPr>
        <w:jc w:val="both"/>
        <w:rPr>
          <w:rFonts w:eastAsia="Times New Roman"/>
          <w:szCs w:val="24"/>
        </w:rPr>
      </w:pPr>
      <w:r>
        <w:rPr>
          <w:rFonts w:eastAsia="Times New Roman"/>
          <w:szCs w:val="24"/>
        </w:rPr>
        <w:t>14) Omino, A., and Kokwaro, O. (1993), Ethnobotany of Apocynaceae Species in Kenya</w:t>
      </w:r>
      <w:r>
        <w:rPr>
          <w:rFonts w:eastAsia="Times New Roman"/>
          <w:i/>
          <w:szCs w:val="24"/>
        </w:rPr>
        <w:t>, J. Ethnopharmacol</w:t>
      </w:r>
      <w:r>
        <w:rPr>
          <w:rFonts w:eastAsia="Times New Roman"/>
          <w:szCs w:val="24"/>
        </w:rPr>
        <w:t xml:space="preserve">., 40(3): 167-180. </w:t>
      </w:r>
    </w:p>
    <w:p>
      <w:pPr>
        <w:jc w:val="both"/>
        <w:rPr>
          <w:rFonts w:eastAsia="Times New Roman"/>
          <w:szCs w:val="24"/>
        </w:rPr>
      </w:pPr>
      <w:r>
        <w:rPr>
          <w:rFonts w:eastAsia="Times New Roman"/>
          <w:i/>
          <w:szCs w:val="24"/>
        </w:rPr>
        <w:t xml:space="preserve">15) </w:t>
      </w:r>
      <w:r>
        <w:rPr>
          <w:rFonts w:eastAsia="Times New Roman"/>
          <w:szCs w:val="24"/>
        </w:rPr>
        <w:t xml:space="preserve">Hailu, T. (2014). Phytopharmaceutical studies of some selected medicinal plants locally usedin the treatment of skin disorders, </w:t>
      </w:r>
      <w:r>
        <w:rPr>
          <w:rFonts w:eastAsia="Times New Roman"/>
          <w:i/>
          <w:szCs w:val="24"/>
        </w:rPr>
        <w:t xml:space="preserve">addis ababa university 28-29 </w:t>
      </w:r>
    </w:p>
    <w:p>
      <w:pPr>
        <w:jc w:val="both"/>
        <w:rPr>
          <w:rFonts w:eastAsia="Times New Roman"/>
          <w:szCs w:val="24"/>
        </w:rPr>
      </w:pPr>
      <w:r>
        <w:rPr>
          <w:rFonts w:eastAsia="Times New Roman"/>
          <w:szCs w:val="24"/>
        </w:rPr>
        <w:t xml:space="preserve">16) Berhanemeskel, W., Teferra, A., and Ragunathan, M.( 2008). Ethnoveterinary use of medicinal plants in Dabat District, western Ethiopia. </w:t>
      </w:r>
      <w:r>
        <w:rPr>
          <w:rFonts w:eastAsia="Times New Roman"/>
          <w:i/>
          <w:szCs w:val="24"/>
        </w:rPr>
        <w:t>Phcog Mag</w:t>
      </w:r>
      <w:r>
        <w:rPr>
          <w:rFonts w:eastAsia="Times New Roman"/>
          <w:szCs w:val="24"/>
        </w:rPr>
        <w:t xml:space="preserve">; </w:t>
      </w:r>
      <w:r>
        <w:rPr>
          <w:rFonts w:eastAsia="Times New Roman"/>
          <w:b/>
          <w:szCs w:val="24"/>
        </w:rPr>
        <w:t>4</w:t>
      </w:r>
      <w:r>
        <w:rPr>
          <w:rFonts w:eastAsia="Times New Roman"/>
          <w:szCs w:val="24"/>
        </w:rPr>
        <w:t xml:space="preserve">(15):93-99 </w:t>
      </w:r>
    </w:p>
    <w:p>
      <w:pPr>
        <w:jc w:val="both"/>
        <w:rPr>
          <w:bCs/>
          <w:i/>
          <w:szCs w:val="24"/>
        </w:rPr>
      </w:pPr>
      <w:r>
        <w:rPr>
          <w:rFonts w:eastAsia="Times New Roman"/>
          <w:szCs w:val="24"/>
        </w:rPr>
        <w:t xml:space="preserve">17) </w:t>
      </w:r>
      <w:r>
        <w:rPr>
          <w:bCs/>
          <w:szCs w:val="24"/>
        </w:rPr>
        <w:t xml:space="preserve">Worku, A. (2016). </w:t>
      </w:r>
      <w:r>
        <w:rPr>
          <w:szCs w:val="24"/>
        </w:rPr>
        <w:t xml:space="preserve">An overview of Ethiopian traditional medicinal plants used for cancer t reatment. </w:t>
      </w:r>
      <w:r>
        <w:rPr>
          <w:bCs/>
          <w:i/>
          <w:szCs w:val="24"/>
        </w:rPr>
        <w:t>European Journal of Medicinal Plants; 14(4): 1-16</w:t>
      </w:r>
    </w:p>
    <w:p>
      <w:pPr>
        <w:jc w:val="both"/>
        <w:rPr>
          <w:rFonts w:eastAsia="Times New Roman"/>
          <w:szCs w:val="24"/>
        </w:rPr>
      </w:pPr>
      <w:r>
        <w:rPr>
          <w:bCs/>
          <w:i/>
          <w:szCs w:val="24"/>
        </w:rPr>
        <w:t xml:space="preserve">19) </w:t>
      </w:r>
      <w:r>
        <w:rPr>
          <w:rFonts w:eastAsia="Times New Roman"/>
          <w:bCs/>
          <w:szCs w:val="24"/>
        </w:rPr>
        <w:t>Ved, P., Shelly, R., and Anand, S. (2016).Studies on antibacterial activity of</w:t>
      </w:r>
      <w:r>
        <w:rPr>
          <w:rFonts w:eastAsia="Times New Roman"/>
          <w:bCs/>
          <w:i/>
          <w:iCs/>
          <w:szCs w:val="24"/>
        </w:rPr>
        <w:t>V</w:t>
      </w:r>
      <w:r>
        <w:rPr>
          <w:rFonts w:eastAsia="Times New Roman"/>
          <w:bCs/>
          <w:i/>
          <w:szCs w:val="24"/>
        </w:rPr>
        <w:t xml:space="preserve">erbascum thapsus.  </w:t>
      </w:r>
      <w:r>
        <w:rPr>
          <w:rFonts w:eastAsia="Times New Roman"/>
          <w:i/>
          <w:iCs/>
          <w:szCs w:val="24"/>
        </w:rPr>
        <w:t>journal of medicinal plants studies</w:t>
      </w:r>
      <w:r>
        <w:rPr>
          <w:rFonts w:eastAsia="Times New Roman"/>
          <w:szCs w:val="24"/>
        </w:rPr>
        <w:t>; 4(3): 101-103</w:t>
      </w:r>
    </w:p>
    <w:p>
      <w:pPr>
        <w:jc w:val="both"/>
        <w:rPr>
          <w:bCs/>
          <w:szCs w:val="24"/>
        </w:rPr>
      </w:pPr>
      <w:r>
        <w:rPr>
          <w:szCs w:val="24"/>
        </w:rPr>
        <w:t>20)</w:t>
      </w:r>
      <w:r>
        <w:fldChar w:fldCharType="begin"/>
      </w:r>
      <w:r>
        <w:instrText xml:space="preserve"> HYPERLINK "https://www.ephi.gov.et/images/pictures/download2010/TRDMED/Endemic%20plants.pdf" </w:instrText>
      </w:r>
      <w:r>
        <w:fldChar w:fldCharType="separate"/>
      </w:r>
      <w:r>
        <w:rPr>
          <w:rStyle w:val="14"/>
          <w:color w:val="auto"/>
          <w:szCs w:val="24"/>
        </w:rPr>
        <w:t>https://www.ephi.gov.et/images/pictures/download2010/TRDMED/Endemic%20plants.pdf</w:t>
      </w:r>
      <w:r>
        <w:rPr>
          <w:rStyle w:val="14"/>
          <w:color w:val="auto"/>
          <w:szCs w:val="24"/>
        </w:rPr>
        <w:fldChar w:fldCharType="end"/>
      </w:r>
      <w:r>
        <w:rPr>
          <w:rStyle w:val="14"/>
          <w:color w:val="auto"/>
          <w:szCs w:val="24"/>
          <w:u w:val="none"/>
        </w:rPr>
        <w:t>viewed on April 12, 2018</w:t>
      </w:r>
    </w:p>
    <w:p>
      <w:pPr>
        <w:autoSpaceDE w:val="0"/>
        <w:autoSpaceDN w:val="0"/>
        <w:adjustRightInd w:val="0"/>
        <w:jc w:val="both"/>
        <w:rPr>
          <w:szCs w:val="24"/>
        </w:rPr>
      </w:pPr>
      <w:r>
        <w:rPr>
          <w:bCs/>
          <w:i/>
          <w:szCs w:val="24"/>
        </w:rPr>
        <w:t xml:space="preserve"> 21) </w:t>
      </w:r>
      <w:r>
        <w:rPr>
          <w:szCs w:val="24"/>
        </w:rPr>
        <w:t xml:space="preserve"> Roya, K., And Fatemeh, G. (2014 ). Plant regeneration via organogenesis and somatic Embryogenesis in </w:t>
      </w:r>
      <w:r>
        <w:rPr>
          <w:i/>
          <w:iCs/>
          <w:szCs w:val="24"/>
        </w:rPr>
        <w:t xml:space="preserve">Verbascum sinuatum . Acta biologica cracoviensia series botanica </w:t>
      </w:r>
      <w:r>
        <w:rPr>
          <w:szCs w:val="24"/>
        </w:rPr>
        <w:t>56: 97–103</w:t>
      </w:r>
    </w:p>
    <w:p>
      <w:pPr>
        <w:jc w:val="both"/>
        <w:rPr>
          <w:szCs w:val="24"/>
        </w:rPr>
      </w:pPr>
      <w:r>
        <w:rPr>
          <w:bCs/>
          <w:i/>
          <w:szCs w:val="24"/>
        </w:rPr>
        <w:t xml:space="preserve">22) </w:t>
      </w:r>
      <w:r>
        <w:rPr>
          <w:szCs w:val="24"/>
        </w:rPr>
        <w:t xml:space="preserve">Armatu, A.,Bodirlau, R., Nechita, B.,Niculaua, M., Teaca, C., Ichim,  M., And  Spiridoni, N. (2011).Characterization of biological activecompounds from </w:t>
      </w:r>
      <w:r>
        <w:rPr>
          <w:i/>
          <w:iCs/>
          <w:szCs w:val="24"/>
        </w:rPr>
        <w:t>Verbascumphlomoides</w:t>
      </w:r>
      <w:r>
        <w:rPr>
          <w:szCs w:val="24"/>
        </w:rPr>
        <w:t xml:space="preserve"> by chromatographytechniques. I. Gas chromatography.</w:t>
      </w:r>
      <w:r>
        <w:rPr>
          <w:i/>
          <w:iCs/>
          <w:szCs w:val="24"/>
        </w:rPr>
        <w:t>Romanian Biotechnological Letters</w:t>
      </w:r>
      <w:r>
        <w:rPr>
          <w:szCs w:val="24"/>
        </w:rPr>
        <w:t>; 16,  4</w:t>
      </w:r>
    </w:p>
    <w:p>
      <w:pPr>
        <w:jc w:val="both"/>
        <w:rPr>
          <w:szCs w:val="24"/>
        </w:rPr>
      </w:pPr>
      <w:r>
        <w:rPr>
          <w:szCs w:val="24"/>
        </w:rPr>
        <w:t xml:space="preserve">23) </w:t>
      </w:r>
      <w:r>
        <w:rPr>
          <w:rFonts w:eastAsia="TimesNewRomanPSMT"/>
          <w:szCs w:val="24"/>
        </w:rPr>
        <w:t xml:space="preserve">Irem, T., and Zeliha, S. (2006). </w:t>
      </w:r>
      <w:r>
        <w:rPr>
          <w:szCs w:val="24"/>
        </w:rPr>
        <w:t>Traditional uses and biological activities of Verbascum species.</w:t>
      </w:r>
      <w:r>
        <w:rPr>
          <w:i/>
          <w:iCs/>
          <w:szCs w:val="24"/>
        </w:rPr>
        <w:t>J. Pharm. Sci.,</w:t>
      </w:r>
      <w:r>
        <w:rPr>
          <w:szCs w:val="24"/>
        </w:rPr>
        <w:t xml:space="preserve"> 31, 85-96</w:t>
      </w:r>
    </w:p>
    <w:p>
      <w:pPr>
        <w:jc w:val="both"/>
        <w:rPr>
          <w:szCs w:val="24"/>
        </w:rPr>
      </w:pPr>
      <w:r>
        <w:rPr>
          <w:szCs w:val="24"/>
        </w:rPr>
        <w:t xml:space="preserve">24) </w:t>
      </w:r>
      <w:r>
        <w:rPr>
          <w:rFonts w:eastAsia="Times New Roman"/>
          <w:bCs/>
          <w:szCs w:val="24"/>
        </w:rPr>
        <w:t xml:space="preserve">Wamidh, H.,  and Adel, M. (2010). </w:t>
      </w:r>
      <w:r>
        <w:rPr>
          <w:szCs w:val="24"/>
        </w:rPr>
        <w:t xml:space="preserve">Antimicrobial, cytotoxicity and phytochemical screening ofJordanian plants used in traditional medicine. </w:t>
      </w:r>
      <w:r>
        <w:rPr>
          <w:i/>
          <w:iCs/>
          <w:szCs w:val="24"/>
        </w:rPr>
        <w:t>Molecules</w:t>
      </w:r>
      <w:r>
        <w:rPr>
          <w:szCs w:val="24"/>
        </w:rPr>
        <w:t>, 15, 1811-1824</w:t>
      </w:r>
    </w:p>
    <w:p>
      <w:pPr>
        <w:jc w:val="both"/>
        <w:rPr>
          <w:szCs w:val="24"/>
        </w:rPr>
      </w:pPr>
      <w:r>
        <w:rPr>
          <w:szCs w:val="24"/>
        </w:rPr>
        <w:t xml:space="preserve"> 25) Muhammad, R., Najmur, R., and  Zia-Ul-Haq, M. (2013). Anthelmintic and insecticidal activities of </w:t>
      </w:r>
      <w:r>
        <w:rPr>
          <w:i/>
          <w:iCs/>
          <w:szCs w:val="24"/>
        </w:rPr>
        <w:t>verbascum thapsus</w:t>
      </w:r>
      <w:r>
        <w:rPr>
          <w:szCs w:val="24"/>
        </w:rPr>
        <w:t>.</w:t>
      </w:r>
      <w:r>
        <w:rPr>
          <w:i/>
          <w:iCs/>
          <w:szCs w:val="24"/>
        </w:rPr>
        <w:t>J. Zool</w:t>
      </w:r>
      <w:r>
        <w:rPr>
          <w:szCs w:val="24"/>
        </w:rPr>
        <w:t>;  45(6), 1593-1598</w:t>
      </w:r>
    </w:p>
    <w:p>
      <w:pPr>
        <w:jc w:val="both"/>
        <w:rPr>
          <w:rFonts w:eastAsia="Times New Roman"/>
          <w:szCs w:val="24"/>
        </w:rPr>
      </w:pPr>
      <w:r>
        <w:rPr>
          <w:rFonts w:eastAsia="Times New Roman"/>
          <w:szCs w:val="24"/>
        </w:rPr>
        <w:t xml:space="preserve">26) Mergia, E., Shibeshi, W., Terefe, G., and Teklehaymanot, T. (2014). Phytochemical screening and </w:t>
      </w:r>
      <w:r>
        <w:rPr>
          <w:rFonts w:eastAsia="Times New Roman"/>
          <w:i/>
          <w:szCs w:val="24"/>
        </w:rPr>
        <w:t xml:space="preserve">in vitro </w:t>
      </w:r>
      <w:r>
        <w:rPr>
          <w:rFonts w:eastAsia="Times New Roman"/>
          <w:szCs w:val="24"/>
        </w:rPr>
        <w:t xml:space="preserve">antitrypanosomal activity of aqueous and methanol leaf extract of </w:t>
      </w:r>
      <w:r>
        <w:rPr>
          <w:rFonts w:eastAsia="Times New Roman"/>
          <w:i/>
          <w:szCs w:val="24"/>
        </w:rPr>
        <w:t xml:space="preserve">Verbascum sinaiticum </w:t>
      </w:r>
      <w:r>
        <w:rPr>
          <w:rFonts w:eastAsia="Times New Roman"/>
          <w:szCs w:val="24"/>
        </w:rPr>
        <w:t xml:space="preserve">(Scrophulariaceae) against </w:t>
      </w:r>
      <w:r>
        <w:rPr>
          <w:rFonts w:eastAsia="Times New Roman"/>
          <w:i/>
          <w:szCs w:val="24"/>
        </w:rPr>
        <w:t xml:space="preserve">trypanosoma congolense </w:t>
      </w:r>
      <w:r>
        <w:rPr>
          <w:rFonts w:eastAsia="Times New Roman"/>
          <w:szCs w:val="24"/>
        </w:rPr>
        <w:t xml:space="preserve">field isolate. </w:t>
      </w:r>
      <w:r>
        <w:rPr>
          <w:rFonts w:eastAsia="Times New Roman"/>
          <w:i/>
          <w:szCs w:val="24"/>
        </w:rPr>
        <w:t xml:space="preserve">J Clin Exp </w:t>
      </w:r>
      <w:r>
        <w:rPr>
          <w:rFonts w:eastAsia="Times New Roman"/>
          <w:szCs w:val="24"/>
        </w:rPr>
        <w:t xml:space="preserve">Pathol 4: 183. </w:t>
      </w:r>
    </w:p>
    <w:p>
      <w:pPr>
        <w:jc w:val="both"/>
        <w:rPr>
          <w:rFonts w:eastAsia="Times New Roman"/>
          <w:szCs w:val="24"/>
        </w:rPr>
      </w:pPr>
      <w:r>
        <w:rPr>
          <w:rFonts w:eastAsia="Times New Roman"/>
          <w:i/>
          <w:szCs w:val="24"/>
        </w:rPr>
        <w:t xml:space="preserve">27) </w:t>
      </w:r>
      <w:r>
        <w:rPr>
          <w:rFonts w:eastAsia="Times New Roman"/>
          <w:szCs w:val="24"/>
        </w:rPr>
        <w:t xml:space="preserve">Samia, M., Mahmoud, S., Abdel-Azim, A., Shahat, Sh., Ismail,I.,  Faiza, M., andHammouda, M. (2007). Phytochemical and biological studies on </w:t>
      </w:r>
      <w:r>
        <w:rPr>
          <w:rFonts w:eastAsia="Times New Roman"/>
          <w:i/>
          <w:szCs w:val="24"/>
        </w:rPr>
        <w:t>verbascum sinaiticum</w:t>
      </w:r>
      <w:r>
        <w:rPr>
          <w:rFonts w:eastAsia="Times New Roman"/>
          <w:szCs w:val="24"/>
        </w:rPr>
        <w:t xml:space="preserve">. </w:t>
      </w:r>
      <w:r>
        <w:rPr>
          <w:rFonts w:eastAsia="Times New Roman"/>
          <w:i/>
          <w:szCs w:val="24"/>
        </w:rPr>
        <w:t xml:space="preserve">Natural Product Sciences </w:t>
      </w:r>
      <w:r>
        <w:rPr>
          <w:rFonts w:eastAsia="Times New Roman"/>
          <w:b/>
          <w:szCs w:val="24"/>
        </w:rPr>
        <w:t>13</w:t>
      </w:r>
      <w:r>
        <w:rPr>
          <w:rFonts w:eastAsia="Times New Roman"/>
          <w:szCs w:val="24"/>
        </w:rPr>
        <w:t xml:space="preserve">(3): 186-189 </w:t>
      </w:r>
    </w:p>
    <w:p>
      <w:pPr>
        <w:jc w:val="both"/>
        <w:rPr>
          <w:rFonts w:eastAsia="Times New Roman"/>
          <w:szCs w:val="24"/>
        </w:rPr>
      </w:pPr>
      <w:r>
        <w:rPr>
          <w:rFonts w:eastAsia="Times New Roman"/>
          <w:i/>
          <w:szCs w:val="24"/>
        </w:rPr>
        <w:t xml:space="preserve">28) </w:t>
      </w:r>
      <w:r>
        <w:rPr>
          <w:rFonts w:eastAsia="Times New Roman"/>
          <w:szCs w:val="24"/>
        </w:rPr>
        <w:t xml:space="preserve">Elgindi,R., Mabry, J., Melek, R., and Miyase.T. (1999). Isoflavones and a Phenylethanoid from </w:t>
      </w:r>
      <w:r>
        <w:rPr>
          <w:rFonts w:eastAsia="Times New Roman"/>
          <w:i/>
          <w:szCs w:val="24"/>
        </w:rPr>
        <w:t xml:space="preserve">verbascum sinaiticum. Asian Journal of Chemistry </w:t>
      </w:r>
      <w:r>
        <w:rPr>
          <w:rFonts w:eastAsia="Times New Roman"/>
          <w:b/>
          <w:szCs w:val="24"/>
        </w:rPr>
        <w:t>11</w:t>
      </w:r>
      <w:r>
        <w:rPr>
          <w:rFonts w:eastAsia="Times New Roman"/>
          <w:szCs w:val="24"/>
        </w:rPr>
        <w:t xml:space="preserve">(4), 1534-1536 </w:t>
      </w:r>
    </w:p>
    <w:p>
      <w:pPr>
        <w:ind w:left="120" w:hanging="120" w:hangingChars="50"/>
        <w:jc w:val="both"/>
        <w:rPr>
          <w:rFonts w:eastAsia="Times New Roman"/>
          <w:szCs w:val="24"/>
        </w:rPr>
      </w:pPr>
      <w:r>
        <w:rPr>
          <w:rFonts w:eastAsia="Times New Roman"/>
          <w:szCs w:val="24"/>
        </w:rPr>
        <w:t>29) Goll, P., Lemma, A., Duncan, J., and Mazengia, B. (1983), Control of Schistosomiasis in Adwa, Ethiopia, Using the Plant Molluscicide Endod (</w:t>
      </w:r>
      <w:r>
        <w:rPr>
          <w:rFonts w:eastAsia="Times New Roman"/>
          <w:i/>
          <w:szCs w:val="24"/>
        </w:rPr>
        <w:t>Phytolacca dodecandra</w:t>
      </w:r>
      <w:r>
        <w:rPr>
          <w:rFonts w:eastAsia="Times New Roman"/>
          <w:szCs w:val="24"/>
        </w:rPr>
        <w:t xml:space="preserve">), Tropenmed. Parasitol 34(3): 177-183 </w:t>
      </w:r>
    </w:p>
    <w:p>
      <w:pPr>
        <w:jc w:val="both"/>
        <w:rPr>
          <w:rFonts w:eastAsia="Times New Roman"/>
          <w:szCs w:val="24"/>
        </w:rPr>
      </w:pPr>
      <w:r>
        <w:rPr>
          <w:rFonts w:eastAsia="Times New Roman"/>
          <w:i/>
          <w:szCs w:val="24"/>
        </w:rPr>
        <w:t xml:space="preserve">30) </w:t>
      </w:r>
      <w:r>
        <w:rPr>
          <w:rFonts w:eastAsia="Times New Roman"/>
          <w:szCs w:val="24"/>
        </w:rPr>
        <w:t>Afifi,S., Ahmed,M., Pezzuto, M., and Kinghorn, D. (</w:t>
      </w:r>
      <w:r>
        <w:rPr>
          <w:rFonts w:eastAsia="Times New Roman"/>
          <w:i/>
          <w:szCs w:val="24"/>
        </w:rPr>
        <w:t xml:space="preserve">1993). </w:t>
      </w:r>
      <w:r>
        <w:rPr>
          <w:rFonts w:eastAsia="Times New Roman"/>
          <w:szCs w:val="24"/>
        </w:rPr>
        <w:t xml:space="preserve">Cytotoxic flavonolignans and flavones from </w:t>
      </w:r>
      <w:r>
        <w:rPr>
          <w:rFonts w:eastAsia="Times New Roman"/>
          <w:i/>
          <w:szCs w:val="24"/>
        </w:rPr>
        <w:t xml:space="preserve">Verbascum sinaiticum </w:t>
      </w:r>
      <w:r>
        <w:rPr>
          <w:rFonts w:eastAsia="Times New Roman"/>
          <w:szCs w:val="24"/>
        </w:rPr>
        <w:t xml:space="preserve">leaves. </w:t>
      </w:r>
      <w:r>
        <w:rPr>
          <w:rFonts w:eastAsia="Times New Roman"/>
          <w:i/>
          <w:szCs w:val="24"/>
        </w:rPr>
        <w:t xml:space="preserve">Phytochemist, </w:t>
      </w:r>
      <w:r>
        <w:rPr>
          <w:rFonts w:eastAsia="Times New Roman"/>
          <w:b/>
          <w:i/>
          <w:szCs w:val="24"/>
        </w:rPr>
        <w:t>34</w:t>
      </w:r>
      <w:r>
        <w:rPr>
          <w:rFonts w:eastAsia="Times New Roman"/>
          <w:i/>
          <w:szCs w:val="24"/>
        </w:rPr>
        <w:t>, 839-841</w:t>
      </w:r>
      <w:r>
        <w:rPr>
          <w:rFonts w:eastAsia="Times New Roman"/>
          <w:szCs w:val="24"/>
        </w:rPr>
        <w:t xml:space="preserve">. </w:t>
      </w:r>
    </w:p>
    <w:p>
      <w:pPr>
        <w:jc w:val="both"/>
        <w:rPr>
          <w:szCs w:val="24"/>
        </w:rPr>
      </w:pPr>
      <w:r>
        <w:rPr>
          <w:rFonts w:eastAsia="Times New Roman"/>
          <w:szCs w:val="24"/>
        </w:rPr>
        <w:t xml:space="preserve">31) </w:t>
      </w:r>
      <w:r>
        <w:rPr>
          <w:szCs w:val="24"/>
        </w:rPr>
        <w:t>Baytop, T. (1999). Therapy with medicinal plants in Turkey:past and present. Nobel Tip Kitapevi, Istanbul</w:t>
      </w:r>
    </w:p>
    <w:p>
      <w:pPr>
        <w:jc w:val="both"/>
        <w:rPr>
          <w:szCs w:val="24"/>
        </w:rPr>
      </w:pPr>
      <w:r>
        <w:rPr>
          <w:rFonts w:eastAsia="Times New Roman"/>
          <w:szCs w:val="24"/>
        </w:rPr>
        <w:t xml:space="preserve">32) </w:t>
      </w:r>
      <w:r>
        <w:rPr>
          <w:szCs w:val="24"/>
        </w:rPr>
        <w:t>Hurre, R. (2003). Influence of vegetable proteinsource on trace elements and mineral bioavailability.</w:t>
      </w:r>
      <w:r>
        <w:rPr>
          <w:i/>
          <w:iCs/>
          <w:szCs w:val="24"/>
        </w:rPr>
        <w:t xml:space="preserve">Journal of Nutrition, </w:t>
      </w:r>
      <w:r>
        <w:rPr>
          <w:szCs w:val="24"/>
        </w:rPr>
        <w:t>133: 29735-29775.</w:t>
      </w:r>
    </w:p>
    <w:p>
      <w:pPr>
        <w:jc w:val="both"/>
        <w:rPr>
          <w:szCs w:val="24"/>
        </w:rPr>
      </w:pPr>
      <w:r>
        <w:rPr>
          <w:rFonts w:eastAsia="Times New Roman"/>
          <w:szCs w:val="24"/>
        </w:rPr>
        <w:t xml:space="preserve">33) </w:t>
      </w:r>
      <w:r>
        <w:rPr>
          <w:bCs/>
          <w:szCs w:val="24"/>
        </w:rPr>
        <w:t>Emad, A., and Sanaa, M. (2013)</w:t>
      </w:r>
      <w:r>
        <w:rPr>
          <w:b/>
          <w:szCs w:val="24"/>
        </w:rPr>
        <w:t xml:space="preserve">. </w:t>
      </w:r>
      <w:r>
        <w:rPr>
          <w:szCs w:val="24"/>
        </w:rPr>
        <w:t xml:space="preserve"> Antioxidant compounds, assays of determination and mode of action. </w:t>
      </w:r>
      <w:r>
        <w:rPr>
          <w:i/>
          <w:iCs/>
          <w:szCs w:val="24"/>
        </w:rPr>
        <w:t>African Journal of Pharmacy andPharmacology</w:t>
      </w:r>
      <w:r>
        <w:rPr>
          <w:szCs w:val="24"/>
        </w:rPr>
        <w:t xml:space="preserve">; 7(10), 528-539, </w:t>
      </w:r>
    </w:p>
    <w:p>
      <w:pPr>
        <w:jc w:val="both"/>
        <w:rPr>
          <w:szCs w:val="24"/>
        </w:rPr>
      </w:pPr>
      <w:r>
        <w:rPr>
          <w:rFonts w:eastAsia="Times New Roman"/>
          <w:szCs w:val="24"/>
        </w:rPr>
        <w:t xml:space="preserve">34) </w:t>
      </w:r>
      <w:r>
        <w:rPr>
          <w:szCs w:val="24"/>
        </w:rPr>
        <w:t xml:space="preserve">Moharram, H., and   Youssef, M. (2014). Methods for Determining the Antioxidant Activity. </w:t>
      </w:r>
      <w:r>
        <w:rPr>
          <w:i/>
          <w:iCs/>
          <w:szCs w:val="24"/>
        </w:rPr>
        <w:t>Alex. J. Fd. Sci. &amp; Technol</w:t>
      </w:r>
      <w:r>
        <w:rPr>
          <w:szCs w:val="24"/>
        </w:rPr>
        <w:t>.11(1): 31-42</w:t>
      </w:r>
    </w:p>
    <w:p>
      <w:pPr>
        <w:autoSpaceDE w:val="0"/>
        <w:autoSpaceDN w:val="0"/>
        <w:adjustRightInd w:val="0"/>
        <w:jc w:val="both"/>
        <w:rPr>
          <w:szCs w:val="24"/>
        </w:rPr>
      </w:pPr>
      <w:r>
        <w:rPr>
          <w:szCs w:val="24"/>
        </w:rPr>
        <w:t xml:space="preserve">35)  </w:t>
      </w:r>
      <w:r>
        <w:fldChar w:fldCharType="begin"/>
      </w:r>
      <w:r>
        <w:instrText xml:space="preserve"> HYPERLINK "https://www.medicinenet.com/script/main/art.asp?articlekey=10215" </w:instrText>
      </w:r>
      <w:r>
        <w:fldChar w:fldCharType="separate"/>
      </w:r>
      <w:r>
        <w:rPr>
          <w:rStyle w:val="29"/>
          <w:color w:val="auto"/>
          <w:szCs w:val="24"/>
        </w:rPr>
        <w:t>https://www.medicinenet.com/script/main/art.asp?articlekey=10215</w:t>
      </w:r>
      <w:r>
        <w:rPr>
          <w:rStyle w:val="29"/>
          <w:color w:val="auto"/>
          <w:szCs w:val="24"/>
        </w:rPr>
        <w:fldChar w:fldCharType="end"/>
      </w:r>
      <w:r>
        <w:rPr>
          <w:szCs w:val="24"/>
        </w:rPr>
        <w:t xml:space="preserve"> viewed on April 1, 2018.</w:t>
      </w:r>
    </w:p>
    <w:p>
      <w:pPr>
        <w:jc w:val="both"/>
        <w:rPr>
          <w:szCs w:val="24"/>
        </w:rPr>
      </w:pPr>
      <w:r>
        <w:rPr>
          <w:rFonts w:eastAsia="Times New Roman"/>
          <w:szCs w:val="24"/>
        </w:rPr>
        <w:t xml:space="preserve">36) </w:t>
      </w:r>
      <w:r>
        <w:fldChar w:fldCharType="begin"/>
      </w:r>
      <w:r>
        <w:instrText xml:space="preserve"> HYPERLINK "https://pdfs.semanticscholar.org/8fc7/bd25cdc72905438e0cbf0d9cf55ec1c78fdf.pdf" </w:instrText>
      </w:r>
      <w:r>
        <w:fldChar w:fldCharType="separate"/>
      </w:r>
      <w:r>
        <w:rPr>
          <w:rStyle w:val="14"/>
          <w:color w:val="auto"/>
          <w:szCs w:val="24"/>
        </w:rPr>
        <w:t>https://pdfs.semanticscholar.org/8fc7/bd25cdc72905438e0cbf0d9cf55ec1c78fdf.pdf</w:t>
      </w:r>
      <w:r>
        <w:rPr>
          <w:rStyle w:val="14"/>
          <w:color w:val="auto"/>
          <w:szCs w:val="24"/>
        </w:rPr>
        <w:fldChar w:fldCharType="end"/>
      </w:r>
      <w:r>
        <w:rPr>
          <w:szCs w:val="24"/>
        </w:rPr>
        <w:t xml:space="preserve">  viewed on April 19, 2018</w:t>
      </w:r>
    </w:p>
    <w:p>
      <w:pPr>
        <w:jc w:val="both"/>
        <w:rPr>
          <w:szCs w:val="24"/>
        </w:rPr>
      </w:pPr>
      <w:r>
        <w:rPr>
          <w:szCs w:val="24"/>
        </w:rPr>
        <w:t>38)</w:t>
      </w:r>
      <w:r>
        <w:fldChar w:fldCharType="begin"/>
      </w:r>
      <w:r>
        <w:instrText xml:space="preserve"> HYPERLINK "https://www1.villanova.edu/content/dam/villanova/studentlife/documents/healthpromotion/Phytochemical" </w:instrText>
      </w:r>
      <w:r>
        <w:fldChar w:fldCharType="separate"/>
      </w:r>
      <w:r>
        <w:rPr>
          <w:rStyle w:val="14"/>
          <w:color w:val="auto"/>
          <w:szCs w:val="24"/>
        </w:rPr>
        <w:t>https://www1.villanova.edu/content/dam/villanova/studentlife/documents/healthpromotion/Phytochemical</w:t>
      </w:r>
      <w:r>
        <w:rPr>
          <w:rStyle w:val="14"/>
          <w:color w:val="auto"/>
          <w:szCs w:val="24"/>
        </w:rPr>
        <w:fldChar w:fldCharType="end"/>
      </w:r>
      <w:r>
        <w:rPr>
          <w:szCs w:val="24"/>
        </w:rPr>
        <w:t xml:space="preserve">  viewed on April  19, 2018</w:t>
      </w:r>
    </w:p>
    <w:p>
      <w:pPr>
        <w:jc w:val="both"/>
        <w:rPr>
          <w:szCs w:val="24"/>
        </w:rPr>
      </w:pPr>
      <w:r>
        <w:rPr>
          <w:szCs w:val="24"/>
        </w:rPr>
        <w:t xml:space="preserve">36) </w:t>
      </w:r>
      <w:r>
        <w:fldChar w:fldCharType="begin"/>
      </w:r>
      <w:r>
        <w:instrText xml:space="preserve"> HYPERLINK "http://nutrition.ucdavis.edu/content/infosheets/factsheets/fact-pro-phytochemica" </w:instrText>
      </w:r>
      <w:r>
        <w:fldChar w:fldCharType="separate"/>
      </w:r>
      <w:r>
        <w:rPr>
          <w:rStyle w:val="14"/>
          <w:color w:val="auto"/>
          <w:szCs w:val="24"/>
        </w:rPr>
        <w:t>http://nutrition.ucdavis.edu/content/infosheets/factsheets/fact-pro-phytochemica</w:t>
      </w:r>
      <w:r>
        <w:rPr>
          <w:rStyle w:val="14"/>
          <w:color w:val="auto"/>
          <w:szCs w:val="24"/>
        </w:rPr>
        <w:fldChar w:fldCharType="end"/>
      </w:r>
      <w:r>
        <w:rPr>
          <w:szCs w:val="24"/>
        </w:rPr>
        <w:t xml:space="preserve">  viewed on April 19, 2018</w:t>
      </w:r>
    </w:p>
    <w:p>
      <w:pPr>
        <w:jc w:val="both"/>
        <w:rPr>
          <w:szCs w:val="24"/>
        </w:rPr>
      </w:pPr>
      <w:r>
        <w:rPr>
          <w:szCs w:val="24"/>
        </w:rPr>
        <w:t xml:space="preserve">37)  Barku, A., Opoku, B., Owusu-Ansah, E., and Mensah, F. (2013). Antioxidant activity and the estimation of total phenolic and flavonoid contents of the root extract of </w:t>
      </w:r>
      <w:r>
        <w:rPr>
          <w:i/>
          <w:szCs w:val="24"/>
        </w:rPr>
        <w:t>Amaranthus spinosus</w:t>
      </w:r>
      <w:r>
        <w:rPr>
          <w:szCs w:val="24"/>
        </w:rPr>
        <w:t xml:space="preserve">. </w:t>
      </w:r>
      <w:r>
        <w:rPr>
          <w:i/>
          <w:szCs w:val="24"/>
        </w:rPr>
        <w:t>Asian Journal of Plant Science and Research</w:t>
      </w:r>
      <w:r>
        <w:rPr>
          <w:szCs w:val="24"/>
        </w:rPr>
        <w:t>, 3(1): 69-74</w:t>
      </w:r>
    </w:p>
    <w:p>
      <w:pPr>
        <w:pStyle w:val="25"/>
        <w:spacing w:line="276" w:lineRule="auto"/>
        <w:jc w:val="both"/>
        <w:rPr>
          <w:color w:val="auto"/>
        </w:rPr>
      </w:pPr>
      <w:r>
        <w:rPr>
          <w:color w:val="auto"/>
        </w:rPr>
        <w:t>38)  Hartwig, G.,  Brumovsky, A.,  Fretes, M., and Boado, S. (2012). A novel procedure to measure the antioxidant capacity of yerba mate extracts</w:t>
      </w:r>
      <w:r>
        <w:rPr>
          <w:i/>
          <w:color w:val="auto"/>
        </w:rPr>
        <w:t>.  Cienc. Tecnol. Aliment</w:t>
      </w:r>
      <w:r>
        <w:rPr>
          <w:color w:val="auto"/>
        </w:rPr>
        <w:t>; 32(1): 126-133</w:t>
      </w:r>
    </w:p>
    <w:p>
      <w:pPr>
        <w:jc w:val="both"/>
        <w:rPr>
          <w:szCs w:val="24"/>
        </w:rPr>
      </w:pPr>
      <w:r>
        <w:rPr>
          <w:szCs w:val="24"/>
        </w:rPr>
        <w:t xml:space="preserve">39)  </w:t>
      </w:r>
      <w:r>
        <w:fldChar w:fldCharType="begin"/>
      </w:r>
      <w:r>
        <w:instrText xml:space="preserve"> HYPERLINK "http://tarek.kakhia.org/books_eng/Alkaloids.Tarek_Kakhia.pdf" </w:instrText>
      </w:r>
      <w:r>
        <w:fldChar w:fldCharType="separate"/>
      </w:r>
      <w:r>
        <w:rPr>
          <w:rStyle w:val="14"/>
          <w:color w:val="auto"/>
          <w:szCs w:val="24"/>
        </w:rPr>
        <w:t>http://tarek.kakhia.org/books_eng/Alkaloids.Tarek_Kakhia.pdf</w:t>
      </w:r>
      <w:r>
        <w:rPr>
          <w:rStyle w:val="14"/>
          <w:color w:val="auto"/>
          <w:szCs w:val="24"/>
        </w:rPr>
        <w:fldChar w:fldCharType="end"/>
      </w:r>
      <w:r>
        <w:rPr>
          <w:szCs w:val="24"/>
        </w:rPr>
        <w:t xml:space="preserve">  viewed on May 10, 2018</w:t>
      </w:r>
    </w:p>
    <w:p>
      <w:pPr>
        <w:pStyle w:val="25"/>
        <w:spacing w:line="276" w:lineRule="auto"/>
        <w:jc w:val="both"/>
        <w:rPr>
          <w:color w:val="auto"/>
        </w:rPr>
      </w:pPr>
      <w:r>
        <w:rPr>
          <w:color w:val="auto"/>
        </w:rPr>
        <w:t>40)</w:t>
      </w:r>
      <w:r>
        <w:fldChar w:fldCharType="begin"/>
      </w:r>
      <w:r>
        <w:instrText xml:space="preserve"> HYPERLINK "https://www.weizmann.ac.il/plants/aharoni/sites/plants.aharoni/files/uploads/june192007.pdf" </w:instrText>
      </w:r>
      <w:r>
        <w:fldChar w:fldCharType="separate"/>
      </w:r>
      <w:r>
        <w:rPr>
          <w:rStyle w:val="14"/>
          <w:color w:val="auto"/>
        </w:rPr>
        <w:t>https://www.weizmann.ac.il/plants/aharoni/sites/plants.aharoni/files/uploads/june192007.pdf</w:t>
      </w:r>
      <w:r>
        <w:rPr>
          <w:rStyle w:val="14"/>
          <w:color w:val="auto"/>
        </w:rPr>
        <w:fldChar w:fldCharType="end"/>
      </w:r>
      <w:r>
        <w:rPr>
          <w:color w:val="auto"/>
        </w:rPr>
        <w:t xml:space="preserve">  viewed on May 10, 2018</w:t>
      </w:r>
    </w:p>
    <w:p>
      <w:pPr>
        <w:jc w:val="both"/>
        <w:rPr>
          <w:szCs w:val="24"/>
        </w:rPr>
      </w:pPr>
      <w:r>
        <w:rPr>
          <w:szCs w:val="24"/>
        </w:rPr>
        <w:t xml:space="preserve">41) David, M., Patrícia, V., Jose, A., and Paula, B. (2009). Phenolics: From Chemistry to Biology. </w:t>
      </w:r>
      <w:r>
        <w:rPr>
          <w:i/>
          <w:szCs w:val="24"/>
        </w:rPr>
        <w:t>Molecules</w:t>
      </w:r>
      <w:r>
        <w:rPr>
          <w:szCs w:val="24"/>
        </w:rPr>
        <w:t xml:space="preserve">, 14, 2202-2211.  </w:t>
      </w:r>
    </w:p>
    <w:p>
      <w:pPr>
        <w:jc w:val="both"/>
        <w:rPr>
          <w:szCs w:val="24"/>
        </w:rPr>
      </w:pPr>
      <w:r>
        <w:rPr>
          <w:szCs w:val="24"/>
        </w:rPr>
        <w:t xml:space="preserve">42) </w:t>
      </w:r>
      <w:r>
        <w:fldChar w:fldCharType="begin"/>
      </w:r>
      <w:r>
        <w:instrText xml:space="preserve"> HYPERLINK "http://sfses.com/history/pdf/09-2007%20Nis/15-Flavonoids%20in%20plants.pdf" </w:instrText>
      </w:r>
      <w:r>
        <w:fldChar w:fldCharType="separate"/>
      </w:r>
      <w:r>
        <w:rPr>
          <w:rStyle w:val="14"/>
          <w:color w:val="auto"/>
          <w:szCs w:val="24"/>
        </w:rPr>
        <w:t>http://sfses.com/history/pdf/09-2007%20Nis/15-Flavonoids%20in%20plants.pdf</w:t>
      </w:r>
      <w:r>
        <w:rPr>
          <w:rStyle w:val="14"/>
          <w:color w:val="auto"/>
          <w:szCs w:val="24"/>
        </w:rPr>
        <w:fldChar w:fldCharType="end"/>
      </w:r>
      <w:r>
        <w:rPr>
          <w:szCs w:val="24"/>
        </w:rPr>
        <w:t xml:space="preserve"> viewed on May 10, 2018.</w:t>
      </w:r>
    </w:p>
    <w:p>
      <w:pPr>
        <w:jc w:val="both"/>
        <w:rPr>
          <w:szCs w:val="24"/>
        </w:rPr>
      </w:pPr>
      <w:r>
        <w:rPr>
          <w:szCs w:val="24"/>
        </w:rPr>
        <w:t xml:space="preserve">43) Alzand, K., Mohamed, M. (2012).  Flavonoids: chemistry, biochemistry and antioxidant activity. </w:t>
      </w:r>
      <w:r>
        <w:rPr>
          <w:i/>
          <w:szCs w:val="24"/>
        </w:rPr>
        <w:t>Journal of Pharmacy Research</w:t>
      </w:r>
      <w:r>
        <w:rPr>
          <w:szCs w:val="24"/>
        </w:rPr>
        <w:t>. 5:4013-4020.</w:t>
      </w:r>
    </w:p>
    <w:p>
      <w:pPr>
        <w:jc w:val="both"/>
        <w:rPr>
          <w:rStyle w:val="14"/>
          <w:rFonts w:eastAsia="SimSun"/>
          <w:color w:val="auto"/>
          <w:szCs w:val="24"/>
        </w:rPr>
      </w:pPr>
      <w:r>
        <w:rPr>
          <w:szCs w:val="24"/>
        </w:rPr>
        <w:t>44) Erica, L., Beatriz, H., Sales, M., Aurea, P., and Sirlei, D. (2017). Flavonoids: Classification, Biosynthesis and Chemical Ecology.</w:t>
      </w:r>
      <w:r>
        <w:fldChar w:fldCharType="begin"/>
      </w:r>
      <w:r>
        <w:instrText xml:space="preserve"> HYPERLINK "http://dx.doi.org/10.5772/67861" </w:instrText>
      </w:r>
      <w:r>
        <w:fldChar w:fldCharType="separate"/>
      </w:r>
      <w:r>
        <w:rPr>
          <w:rStyle w:val="14"/>
          <w:rFonts w:eastAsia="SimSun"/>
          <w:color w:val="auto"/>
          <w:szCs w:val="24"/>
        </w:rPr>
        <w:t>http://dx.doi.org/10.5772/67861</w:t>
      </w:r>
      <w:r>
        <w:rPr>
          <w:rStyle w:val="14"/>
          <w:rFonts w:eastAsia="SimSun"/>
          <w:color w:val="auto"/>
          <w:szCs w:val="24"/>
        </w:rPr>
        <w:fldChar w:fldCharType="end"/>
      </w:r>
    </w:p>
    <w:p>
      <w:pPr>
        <w:jc w:val="both"/>
        <w:rPr>
          <w:szCs w:val="24"/>
        </w:rPr>
      </w:pPr>
      <w:r>
        <w:rPr>
          <w:szCs w:val="24"/>
        </w:rPr>
        <w:t xml:space="preserve">45) Gloria, C. (2012). Classification of phenolic compounds by chemical structural indicators and its relation to antioxidant  properties of </w:t>
      </w:r>
      <w:r>
        <w:rPr>
          <w:i/>
          <w:szCs w:val="24"/>
        </w:rPr>
        <w:t>posidonia oceanica (L.)  Delile</w:t>
      </w:r>
      <w:r>
        <w:rPr>
          <w:szCs w:val="24"/>
        </w:rPr>
        <w:t xml:space="preserve">. </w:t>
      </w:r>
      <w:r>
        <w:rPr>
          <w:i/>
          <w:szCs w:val="24"/>
        </w:rPr>
        <w:t>Commun. Math. Comput. Chem.</w:t>
      </w:r>
      <w:r>
        <w:rPr>
          <w:szCs w:val="24"/>
        </w:rPr>
        <w:t>67; 231-250</w:t>
      </w:r>
    </w:p>
    <w:p>
      <w:pPr>
        <w:jc w:val="both"/>
        <w:rPr>
          <w:szCs w:val="24"/>
        </w:rPr>
      </w:pPr>
      <w:r>
        <w:rPr>
          <w:szCs w:val="24"/>
        </w:rPr>
        <w:t xml:space="preserve">46) Nagendran, B., Kalyana, S., and Samir, S. (2006).Phenolic compounds in plants and agriindustrial by-products: Antioxidant activity, occurrence, and potential use.  </w:t>
      </w:r>
      <w:r>
        <w:rPr>
          <w:i/>
          <w:iCs/>
          <w:szCs w:val="24"/>
        </w:rPr>
        <w:t>Food chemistry</w:t>
      </w:r>
      <w:r>
        <w:rPr>
          <w:szCs w:val="24"/>
        </w:rPr>
        <w:t xml:space="preserve">.  99: 191–203 </w:t>
      </w:r>
    </w:p>
    <w:p>
      <w:pPr>
        <w:jc w:val="both"/>
        <w:rPr>
          <w:szCs w:val="24"/>
        </w:rPr>
      </w:pPr>
      <w:r>
        <w:rPr>
          <w:szCs w:val="24"/>
        </w:rPr>
        <w:t xml:space="preserve">47) Ozlem, G., and Giuseppe, M.(2007). Saponins: properties, applications and processing.J.  </w:t>
      </w:r>
      <w:r>
        <w:rPr>
          <w:i/>
          <w:szCs w:val="24"/>
        </w:rPr>
        <w:t xml:space="preserve">food science and nutrition, </w:t>
      </w:r>
      <w:r>
        <w:rPr>
          <w:szCs w:val="24"/>
        </w:rPr>
        <w:t>47:231–258</w:t>
      </w:r>
    </w:p>
    <w:p>
      <w:pPr>
        <w:jc w:val="both"/>
        <w:rPr>
          <w:szCs w:val="24"/>
        </w:rPr>
      </w:pPr>
      <w:r>
        <w:rPr>
          <w:szCs w:val="24"/>
        </w:rPr>
        <w:t>48) George, F., Zohar, K., Harinder, M., and Klaus, B. (2002). The biological action of saponins in animal systems: a review</w:t>
      </w:r>
      <w:r>
        <w:rPr>
          <w:i/>
          <w:szCs w:val="24"/>
        </w:rPr>
        <w:t>.  British Journal of Nutrition;</w:t>
      </w:r>
      <w:r>
        <w:rPr>
          <w:szCs w:val="24"/>
        </w:rPr>
        <w:t>88, 587–605</w:t>
      </w:r>
    </w:p>
    <w:p>
      <w:pPr>
        <w:jc w:val="both"/>
        <w:rPr>
          <w:i/>
          <w:iCs/>
          <w:szCs w:val="24"/>
        </w:rPr>
      </w:pPr>
      <w:r>
        <w:rPr>
          <w:szCs w:val="24"/>
        </w:rPr>
        <w:t xml:space="preserve">49) Eskandar, M., and Somayeh, H. (2015). Saponin: properties, methods of evaluation and applications. </w:t>
      </w:r>
      <w:r>
        <w:rPr>
          <w:i/>
          <w:szCs w:val="24"/>
        </w:rPr>
        <w:t>Annual Research &amp; Review in Biology</w:t>
      </w:r>
      <w:r>
        <w:rPr>
          <w:i/>
          <w:iCs/>
          <w:szCs w:val="24"/>
        </w:rPr>
        <w:t xml:space="preserve"> 5(3): 207-220</w:t>
      </w:r>
    </w:p>
    <w:p>
      <w:pPr>
        <w:pStyle w:val="28"/>
        <w:autoSpaceDE w:val="0"/>
        <w:autoSpaceDN w:val="0"/>
        <w:adjustRightInd w:val="0"/>
        <w:spacing w:before="100" w:beforeAutospacing="1"/>
        <w:ind w:left="0"/>
        <w:jc w:val="both"/>
        <w:rPr>
          <w:i/>
          <w:iCs/>
          <w:szCs w:val="24"/>
        </w:rPr>
      </w:pPr>
      <w:r>
        <w:rPr>
          <w:szCs w:val="24"/>
        </w:rPr>
        <w:t xml:space="preserve">50) Wayne, P. (200).  National Committee for Clinical Laboratory Standards: Performance Standards for Antimicrobial Susceptibility Testing, 7th edn. Approved StandardM2-A7. </w:t>
      </w:r>
      <w:r>
        <w:rPr>
          <w:i/>
          <w:iCs/>
          <w:szCs w:val="24"/>
        </w:rPr>
        <w:t>National Committee for Clinical Laboratory Standards.</w:t>
      </w:r>
    </w:p>
    <w:p>
      <w:pPr>
        <w:pStyle w:val="28"/>
        <w:autoSpaceDE w:val="0"/>
        <w:autoSpaceDN w:val="0"/>
        <w:adjustRightInd w:val="0"/>
        <w:spacing w:before="100" w:beforeAutospacing="1"/>
        <w:ind w:left="0"/>
        <w:jc w:val="both"/>
        <w:rPr>
          <w:szCs w:val="24"/>
        </w:rPr>
      </w:pPr>
      <w:r>
        <w:rPr>
          <w:szCs w:val="24"/>
        </w:rPr>
        <w:t xml:space="preserve">51) Bauer, A., Kirby, W., Sherirs, J., and Turck, M. (1966). Antibiotic susceptibility testing by standardized single disk method. </w:t>
      </w:r>
      <w:r>
        <w:rPr>
          <w:i/>
          <w:iCs/>
          <w:szCs w:val="24"/>
        </w:rPr>
        <w:t>Amer J Clin Patho</w:t>
      </w:r>
      <w:r>
        <w:rPr>
          <w:szCs w:val="24"/>
        </w:rPr>
        <w:t>l, 45:433–496.</w:t>
      </w:r>
    </w:p>
    <w:p>
      <w:pPr>
        <w:jc w:val="both"/>
        <w:rPr>
          <w:szCs w:val="24"/>
        </w:rPr>
      </w:pPr>
      <w:r>
        <w:rPr>
          <w:szCs w:val="24"/>
        </w:rPr>
        <w:t xml:space="preserve">52) Dildar, A., Muhammad, M. and Ramsha, S. (2015). Comparative analysis of phenolics, flavonoids, and antioxidant and antibacterial potential of methanolic, hexanic and Aqueous Extracts from Adiantum caudatum leaves.  </w:t>
      </w:r>
      <w:r>
        <w:rPr>
          <w:i/>
          <w:szCs w:val="24"/>
        </w:rPr>
        <w:t>Antioxidants</w:t>
      </w:r>
      <w:r>
        <w:rPr>
          <w:rFonts w:eastAsia="SimSun"/>
          <w:szCs w:val="24"/>
        </w:rPr>
        <w:t xml:space="preserve">, </w:t>
      </w:r>
      <w:r>
        <w:rPr>
          <w:szCs w:val="24"/>
        </w:rPr>
        <w:t>4, 394-409</w:t>
      </w:r>
    </w:p>
    <w:p>
      <w:pPr>
        <w:jc w:val="both"/>
        <w:rPr>
          <w:rFonts w:eastAsia="SimSun"/>
          <w:i/>
          <w:iCs/>
          <w:szCs w:val="24"/>
        </w:rPr>
      </w:pPr>
      <w:r>
        <w:rPr>
          <w:szCs w:val="24"/>
        </w:rPr>
        <w:t xml:space="preserve">53) </w:t>
      </w:r>
      <w:r>
        <w:rPr>
          <w:rFonts w:eastAsia="SimSun"/>
          <w:szCs w:val="24"/>
        </w:rPr>
        <w:t xml:space="preserve">Bagavan, A., Kamaraj, C., Elango, G., Abduz Zahir, A., and Abdul Rahuman, A. (2009). Adulticidal and larvicidal efficacy of some medicinal plant extracts against tick, </w:t>
      </w:r>
      <w:r>
        <w:rPr>
          <w:rFonts w:eastAsia="SimSun"/>
          <w:i/>
          <w:iCs/>
          <w:szCs w:val="24"/>
        </w:rPr>
        <w:t xml:space="preserve">fluke and mosquitoes. Vet Parasitol, 166: 286-292 </w:t>
      </w:r>
    </w:p>
    <w:p>
      <w:pPr>
        <w:pStyle w:val="25"/>
        <w:spacing w:line="360" w:lineRule="auto"/>
        <w:jc w:val="both"/>
        <w:rPr>
          <w:color w:val="auto"/>
        </w:rPr>
      </w:pPr>
      <w:r>
        <w:rPr>
          <w:color w:val="auto"/>
        </w:rPr>
        <w:t xml:space="preserve">54)  Catherine, K., And Sahira, L. General techniques involved in phytochemical analysis . </w:t>
      </w:r>
      <w:r>
        <w:rPr>
          <w:i/>
          <w:color w:val="auto"/>
        </w:rPr>
        <w:t>International journal of advanced research in chemical science (IJARCS</w:t>
      </w:r>
      <w:r>
        <w:rPr>
          <w:color w:val="auto"/>
        </w:rPr>
        <w:t>). 2(4): 25-32</w:t>
      </w:r>
    </w:p>
    <w:p>
      <w:pPr>
        <w:jc w:val="both"/>
        <w:rPr>
          <w:szCs w:val="24"/>
        </w:rPr>
      </w:pPr>
      <w:r>
        <w:rPr>
          <w:szCs w:val="24"/>
        </w:rPr>
        <w:t xml:space="preserve">55) Jaradat, N., Hussen, F., and Ali, A. (2015). Preliminary phytochemical screening, quantitative estimation of total flavonoids, total phenols and antioxidant activity of </w:t>
      </w:r>
      <w:r>
        <w:rPr>
          <w:i/>
          <w:szCs w:val="24"/>
        </w:rPr>
        <w:t>ephedra alata decne</w:t>
      </w:r>
      <w:r>
        <w:rPr>
          <w:szCs w:val="24"/>
        </w:rPr>
        <w:t xml:space="preserve">. </w:t>
      </w:r>
      <w:r>
        <w:rPr>
          <w:i/>
          <w:szCs w:val="24"/>
        </w:rPr>
        <w:t>J. Mater. Environ. Sci.</w:t>
      </w:r>
      <w:r>
        <w:rPr>
          <w:szCs w:val="24"/>
        </w:rPr>
        <w:t>6 (6): 1771-1778</w:t>
      </w:r>
    </w:p>
    <w:p>
      <w:pPr>
        <w:jc w:val="both"/>
        <w:rPr>
          <w:szCs w:val="24"/>
        </w:rPr>
      </w:pPr>
      <w:r>
        <w:rPr>
          <w:szCs w:val="24"/>
        </w:rPr>
        <w:t xml:space="preserve">56) Watal, G., Manjulika, Y., Sanjukta, Ch., and Sharad, K. (2014). Preliminary phytochemical screening of six medicinal plants used in traditional medicine.  </w:t>
      </w:r>
      <w:r>
        <w:rPr>
          <w:i/>
          <w:szCs w:val="24"/>
        </w:rPr>
        <w:t>Int J Pharm Pharm Sci</w:t>
      </w:r>
      <w:r>
        <w:rPr>
          <w:szCs w:val="24"/>
        </w:rPr>
        <w:t>. 6(5):  539-542</w:t>
      </w:r>
    </w:p>
    <w:p>
      <w:pPr>
        <w:pStyle w:val="25"/>
        <w:spacing w:line="360" w:lineRule="auto"/>
        <w:jc w:val="both"/>
        <w:rPr>
          <w:color w:val="auto"/>
        </w:rPr>
      </w:pPr>
    </w:p>
    <w:p>
      <w:pPr>
        <w:jc w:val="both"/>
        <w:rPr>
          <w:rFonts w:eastAsia="SimSun"/>
          <w:i/>
          <w:iCs/>
          <w:szCs w:val="24"/>
        </w:rPr>
      </w:pPr>
    </w:p>
    <w:p>
      <w:pPr>
        <w:jc w:val="both"/>
        <w:rPr>
          <w:szCs w:val="24"/>
        </w:rPr>
      </w:pPr>
    </w:p>
    <w:p>
      <w:pPr>
        <w:jc w:val="both"/>
        <w:rPr>
          <w:szCs w:val="24"/>
        </w:rPr>
      </w:pPr>
    </w:p>
    <w:p>
      <w:pPr>
        <w:jc w:val="both"/>
        <w:rPr>
          <w:szCs w:val="24"/>
        </w:rPr>
      </w:pPr>
    </w:p>
    <w:p>
      <w:pPr>
        <w:pStyle w:val="6"/>
        <w:jc w:val="both"/>
        <w:rPr>
          <w:rFonts w:ascii="Times New Roman" w:hAnsi="Times New Roman" w:cs="Times New Roman"/>
          <w:szCs w:val="24"/>
        </w:rPr>
      </w:pPr>
    </w:p>
    <w:sectPr>
      <w:footerReference r:id="rId8" w:type="default"/>
      <w:pgSz w:w="12240" w:h="15840"/>
      <w:pgMar w:top="1440" w:right="1800" w:bottom="1440" w:left="1800" w:header="720" w:footer="720" w:gutter="0"/>
      <w:pgNumType w:fmt="decimal" w:start="1"/>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EFF" w:usb1="C0007843"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Calibri">
    <w:panose1 w:val="020F0502020204030204"/>
    <w:charset w:val="00"/>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Tahoma">
    <w:panose1 w:val="020B0604030504040204"/>
    <w:charset w:val="00"/>
    <w:family w:val="swiss"/>
    <w:pitch w:val="default"/>
    <w:sig w:usb0="E1002EFF" w:usb1="C000605B" w:usb2="00000029" w:usb3="00000000" w:csb0="200101FF" w:csb1="20280000"/>
  </w:font>
  <w:font w:name="SimHei">
    <w:altName w:val="Arial Unicode MS"/>
    <w:panose1 w:val="02010600030101010101"/>
    <w:charset w:val="86"/>
    <w:family w:val="modern"/>
    <w:pitch w:val="default"/>
    <w:sig w:usb0="00000000" w:usb1="00000000" w:usb2="00000010" w:usb3="00000000" w:csb0="00040000" w:csb1="00000000"/>
  </w:font>
  <w:font w:name="Minion Pro">
    <w:altName w:val="Segoe Print"/>
    <w:panose1 w:val="00000000000000000000"/>
    <w:charset w:val="00"/>
    <w:family w:val="roman"/>
    <w:pitch w:val="default"/>
    <w:sig w:usb0="00000000" w:usb1="00000000" w:usb2="00000000" w:usb3="00000000" w:csb0="00000001" w:csb1="00000000"/>
  </w:font>
  <w:font w:name="Garamond">
    <w:panose1 w:val="02020404030301010803"/>
    <w:charset w:val="00"/>
    <w:family w:val="roman"/>
    <w:pitch w:val="default"/>
    <w:sig w:usb0="00000287" w:usb1="00000000" w:usb2="00000000" w:usb3="00000000" w:csb0="0000009F" w:csb1="DFD70000"/>
  </w:font>
  <w:font w:name="TimesNewRomanPSMT">
    <w:altName w:val="Times New Roman"/>
    <w:panose1 w:val="00000000000000000000"/>
    <w:charset w:val="00"/>
    <w:family w:val="roman"/>
    <w:pitch w:val="default"/>
    <w:sig w:usb0="00000000" w:usb1="00000000" w:usb2="00000010" w:usb3="00000000" w:csb0="00020009" w:csb1="00000000"/>
  </w:font>
  <w:font w:name="MinionPro-Regular">
    <w:altName w:val="Yu Gothic"/>
    <w:panose1 w:val="00000000000000000000"/>
    <w:charset w:val="80"/>
    <w:family w:val="auto"/>
    <w:pitch w:val="default"/>
    <w:sig w:usb0="00000000" w:usb1="00000000" w:usb2="00000010" w:usb3="00000000" w:csb0="00020000" w:csb1="00000000"/>
  </w:font>
  <w:font w:name="Symbol">
    <w:panose1 w:val="05050102010706020507"/>
    <w:charset w:val="02"/>
    <w:family w:val="roman"/>
    <w:pitch w:val="default"/>
    <w:sig w:usb0="00000000" w:usb1="00000000" w:usb2="00000000" w:usb3="00000000" w:csb0="80000000" w:csb1="00000000"/>
  </w:font>
  <w:font w:name="T13">
    <w:altName w:val="Segoe Print"/>
    <w:panose1 w:val="00000000000000000000"/>
    <w:charset w:val="00"/>
    <w:family w:val="swiss"/>
    <w:pitch w:val="default"/>
    <w:sig w:usb0="00000000" w:usb1="00000000" w:usb2="00000000" w:usb3="00000000" w:csb0="00000001" w:csb1="00000000"/>
  </w:font>
  <w:font w:name="Times-Roman">
    <w:altName w:val="Times New Roman"/>
    <w:panose1 w:val="00000000000000000000"/>
    <w:charset w:val="00"/>
    <w:family w:val="roman"/>
    <w:pitch w:val="default"/>
    <w:sig w:usb0="00000000" w:usb1="00000000" w:usb2="00000000" w:usb3="00000000" w:csb0="00000001" w:csb1="00000000"/>
  </w:font>
  <w:font w:name="TimesNewRomanPS-ItalicMT">
    <w:altName w:val="Segoe Print"/>
    <w:panose1 w:val="00000000000000000000"/>
    <w:charset w:val="00"/>
    <w:family w:val="roman"/>
    <w:pitch w:val="default"/>
    <w:sig w:usb0="00000000" w:usb1="00000000" w:usb2="00000000" w:usb3="00000000" w:csb0="00000001" w:csb1="00000000"/>
  </w:font>
  <w:font w:name="Cambria Math">
    <w:panose1 w:val="02040503050406030204"/>
    <w:charset w:val="00"/>
    <w:family w:val="roman"/>
    <w:pitch w:val="default"/>
    <w:sig w:usb0="E00002FF" w:usb1="420024FF" w:usb2="00000000" w:usb3="00000000" w:csb0="2000019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pPr>
  </w:p>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pPr>
    <w:r>
      <w:pict>
        <v:shape id="_x0000_s4097" o:spid="_x0000_s4097" o:spt="202" type="#_x0000_t202" style="position:absolute;left:0pt;margin-top:0pt;height:144pt;width:144pt;mso-position-horizontal:center;mso-position-horizontal-relative:margin;mso-wrap-style:none;z-index:251655168;mso-width-relative:page;mso-height-relative:page;" filled="f" stroked="f" coordsize="21600,21600">
          <v:path/>
          <v:fill on="f" focussize="0,0"/>
          <v:stroke on="f" joinstyle="miter"/>
          <v:imagedata o:title=""/>
          <o:lock v:ext="edit"/>
          <v:textbox inset="0mm,0mm,0mm,0mm" style="mso-fit-shape-to-text:t;">
            <w:txbxContent>
              <w:p>
                <w:pPr>
                  <w:pStyle w:val="7"/>
                </w:pPr>
                <w:r>
                  <w:fldChar w:fldCharType="begin"/>
                </w:r>
                <w:r>
                  <w:instrText xml:space="preserve"> PAGE  \* MERGEFORMAT </w:instrText>
                </w:r>
                <w:r>
                  <w:fldChar w:fldCharType="separate"/>
                </w:r>
                <w:r>
                  <w:t>i</w:t>
                </w:r>
                <w:r>
                  <w:fldChar w:fldCharType="end"/>
                </w:r>
              </w:p>
            </w:txbxContent>
          </v:textbox>
        </v:shape>
      </w:pict>
    </w:r>
    <w:sdt>
      <w:sdtPr>
        <w:id w:val="1696224893"/>
        <w:showingPlcHdr/>
      </w:sdtPr>
      <w:sdtContent/>
    </w:sdt>
  </w:p>
  <w:p>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right"/>
    </w:pPr>
    <w: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pPr>
                  <w:pStyle w:val="7"/>
                </w:pPr>
                <w:r>
                  <w:fldChar w:fldCharType="begin"/>
                </w:r>
                <w:r>
                  <w:instrText xml:space="preserve"> PAGE  \* MERGEFORMAT </w:instrText>
                </w:r>
                <w:r>
                  <w:fldChar w:fldCharType="separate"/>
                </w:r>
                <w:r>
                  <w:t>x</w:t>
                </w:r>
                <w:r>
                  <w:fldChar w:fldCharType="end"/>
                </w:r>
              </w:p>
            </w:txbxContent>
          </v:textbox>
        </v:shape>
      </w:pict>
    </w:r>
    <w:r>
      <w:pict>
        <v:shape id="_x0000_s4099" o:spid="_x0000_s4099" o:spt="202" type="#_x0000_t202" style="position:absolute;left:0pt;margin-top:0pt;height:144pt;width:144pt;mso-position-horizontal:center;mso-position-horizontal-relative:margin;mso-wrap-style:none;z-index:251656192;mso-width-relative:page;mso-height-relative:page;" filled="f" stroked="f" coordsize="21600,21600">
          <v:path/>
          <v:fill on="f" focussize="0,0"/>
          <v:stroke on="f" joinstyle="miter"/>
          <v:imagedata o:title=""/>
          <o:lock v:ext="edit"/>
          <v:textbox inset="0mm,0mm,0mm,0mm" style="mso-fit-shape-to-text:t;">
            <w:txbxContent>
              <w:p>
                <w:pPr>
                  <w:pStyle w:val="7"/>
                  <w:jc w:val="right"/>
                </w:pPr>
              </w:p>
              <w:p/>
            </w:txbxContent>
          </v:textbox>
        </v:shape>
      </w:pict>
    </w:r>
  </w:p>
  <w:p>
    <w:pPr>
      <w:pStyle w:val="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right"/>
    </w:pPr>
    <w:r>
      <w:pict>
        <v:shape id="_x0000_s4101" o:spid="_x0000_s4101"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sdt>
                <w:sdtPr>
                  <w:id w:val="1794158547"/>
                </w:sdtPr>
                <w:sdtContent>
                  <w:p>
                    <w:pPr>
                      <w:pStyle w:val="7"/>
                      <w:jc w:val="right"/>
                    </w:pPr>
                    <w:r>
                      <w:fldChar w:fldCharType="begin"/>
                    </w:r>
                    <w:r>
                      <w:instrText xml:space="preserve"> PAGE   \* MERGEFORMAT </w:instrText>
                    </w:r>
                    <w:r>
                      <w:fldChar w:fldCharType="separate"/>
                    </w:r>
                    <w:r>
                      <w:t>40</w:t>
                    </w:r>
                    <w:r>
                      <w:fldChar w:fldCharType="end"/>
                    </w:r>
                  </w:p>
                </w:sdtContent>
              </w:sdt>
              <w:p/>
            </w:txbxContent>
          </v:textbox>
        </v:shape>
      </w:pict>
    </w:r>
  </w:p>
  <w:p>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B8543D"/>
    <w:multiLevelType w:val="multilevel"/>
    <w:tmpl w:val="28B8543D"/>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3A7D1B4B"/>
    <w:multiLevelType w:val="multilevel"/>
    <w:tmpl w:val="3A7D1B4B"/>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40F66C84"/>
    <w:multiLevelType w:val="multilevel"/>
    <w:tmpl w:val="40F66C84"/>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displayBackgroundShape w:val="1"/>
  <w:documentProtection w:enforcement="0"/>
  <w:defaultTabStop w:val="720"/>
  <w:drawingGridHorizontalSpacing w:val="120"/>
  <w:characterSpacingControl w:val="doNotCompress"/>
  <w:hdrShapeDefaults>
    <o:shapelayout v:ext="edit">
      <o:idmap v:ext="edit" data="3,4"/>
    </o:shapelayout>
  </w:hdrShapeDefaults>
  <w:compat>
    <w:doNotExpandShiftReturn/>
    <w:doNotUseIndentAsNumberingTabStop/>
    <w:useAltKinsokuLineBreakRules/>
    <w:compatSetting w:name="compatibilityMode" w:uri="http://schemas.microsoft.com/office/word" w:val="12"/>
  </w:compat>
  <w:rsids>
    <w:rsidRoot w:val="00172A27"/>
    <w:rsid w:val="000014B2"/>
    <w:rsid w:val="0000199B"/>
    <w:rsid w:val="0000290B"/>
    <w:rsid w:val="00006681"/>
    <w:rsid w:val="00010DF8"/>
    <w:rsid w:val="00012C5A"/>
    <w:rsid w:val="00014A29"/>
    <w:rsid w:val="00020B06"/>
    <w:rsid w:val="000214FE"/>
    <w:rsid w:val="00021E86"/>
    <w:rsid w:val="000221A5"/>
    <w:rsid w:val="000235CB"/>
    <w:rsid w:val="00030266"/>
    <w:rsid w:val="00031C20"/>
    <w:rsid w:val="000334B9"/>
    <w:rsid w:val="00037C50"/>
    <w:rsid w:val="0004265D"/>
    <w:rsid w:val="000537C2"/>
    <w:rsid w:val="00053B45"/>
    <w:rsid w:val="00053C1B"/>
    <w:rsid w:val="00054E43"/>
    <w:rsid w:val="00055D4A"/>
    <w:rsid w:val="00057F99"/>
    <w:rsid w:val="00063B56"/>
    <w:rsid w:val="00065416"/>
    <w:rsid w:val="00070332"/>
    <w:rsid w:val="00075F08"/>
    <w:rsid w:val="00083036"/>
    <w:rsid w:val="00083B9C"/>
    <w:rsid w:val="000841D7"/>
    <w:rsid w:val="000857CF"/>
    <w:rsid w:val="0008593F"/>
    <w:rsid w:val="000955DA"/>
    <w:rsid w:val="00096941"/>
    <w:rsid w:val="000B1C49"/>
    <w:rsid w:val="000B2C25"/>
    <w:rsid w:val="000B6599"/>
    <w:rsid w:val="000C1725"/>
    <w:rsid w:val="000C2E69"/>
    <w:rsid w:val="000C4B91"/>
    <w:rsid w:val="000C616A"/>
    <w:rsid w:val="000D0065"/>
    <w:rsid w:val="000D2E7D"/>
    <w:rsid w:val="000D457A"/>
    <w:rsid w:val="000D7047"/>
    <w:rsid w:val="000E0948"/>
    <w:rsid w:val="000E30E8"/>
    <w:rsid w:val="000F00DB"/>
    <w:rsid w:val="000F0357"/>
    <w:rsid w:val="000F4D0D"/>
    <w:rsid w:val="000F7A0C"/>
    <w:rsid w:val="00100015"/>
    <w:rsid w:val="00101003"/>
    <w:rsid w:val="001025DB"/>
    <w:rsid w:val="00103BC4"/>
    <w:rsid w:val="001046B3"/>
    <w:rsid w:val="00104DCF"/>
    <w:rsid w:val="00106218"/>
    <w:rsid w:val="00106CB1"/>
    <w:rsid w:val="001104FE"/>
    <w:rsid w:val="00110812"/>
    <w:rsid w:val="00110F02"/>
    <w:rsid w:val="00115EFE"/>
    <w:rsid w:val="0011662F"/>
    <w:rsid w:val="00124124"/>
    <w:rsid w:val="00124C21"/>
    <w:rsid w:val="001276B6"/>
    <w:rsid w:val="00135CAC"/>
    <w:rsid w:val="00140122"/>
    <w:rsid w:val="001410D0"/>
    <w:rsid w:val="0014250D"/>
    <w:rsid w:val="00143CEE"/>
    <w:rsid w:val="00154B61"/>
    <w:rsid w:val="00154FD0"/>
    <w:rsid w:val="00155B06"/>
    <w:rsid w:val="001621C1"/>
    <w:rsid w:val="00165FCC"/>
    <w:rsid w:val="001668D0"/>
    <w:rsid w:val="001668EA"/>
    <w:rsid w:val="001714BE"/>
    <w:rsid w:val="00171BC3"/>
    <w:rsid w:val="00172A27"/>
    <w:rsid w:val="00172D1F"/>
    <w:rsid w:val="00173010"/>
    <w:rsid w:val="00177ACC"/>
    <w:rsid w:val="00182E5D"/>
    <w:rsid w:val="001902E7"/>
    <w:rsid w:val="0019035D"/>
    <w:rsid w:val="001931E5"/>
    <w:rsid w:val="00194D34"/>
    <w:rsid w:val="00194F9F"/>
    <w:rsid w:val="00195A8C"/>
    <w:rsid w:val="001A0767"/>
    <w:rsid w:val="001A0B2C"/>
    <w:rsid w:val="001A2259"/>
    <w:rsid w:val="001A2FE1"/>
    <w:rsid w:val="001B7018"/>
    <w:rsid w:val="001B75B5"/>
    <w:rsid w:val="001C1D84"/>
    <w:rsid w:val="001C2E85"/>
    <w:rsid w:val="001C4DA2"/>
    <w:rsid w:val="001C6C84"/>
    <w:rsid w:val="001C725A"/>
    <w:rsid w:val="001E1636"/>
    <w:rsid w:val="001E4FE3"/>
    <w:rsid w:val="001F1798"/>
    <w:rsid w:val="001F5F12"/>
    <w:rsid w:val="0020371F"/>
    <w:rsid w:val="00207EF3"/>
    <w:rsid w:val="00224FC0"/>
    <w:rsid w:val="0022590C"/>
    <w:rsid w:val="00230C8A"/>
    <w:rsid w:val="00231CC7"/>
    <w:rsid w:val="00231E24"/>
    <w:rsid w:val="002323CF"/>
    <w:rsid w:val="00236AA2"/>
    <w:rsid w:val="002377A9"/>
    <w:rsid w:val="00240C25"/>
    <w:rsid w:val="00241C21"/>
    <w:rsid w:val="002426DB"/>
    <w:rsid w:val="00244A69"/>
    <w:rsid w:val="00247D71"/>
    <w:rsid w:val="0025082F"/>
    <w:rsid w:val="002532E4"/>
    <w:rsid w:val="00254A1A"/>
    <w:rsid w:val="00256997"/>
    <w:rsid w:val="00257A41"/>
    <w:rsid w:val="00257DF9"/>
    <w:rsid w:val="0026060A"/>
    <w:rsid w:val="0026126B"/>
    <w:rsid w:val="00263300"/>
    <w:rsid w:val="00264CAC"/>
    <w:rsid w:val="002729AB"/>
    <w:rsid w:val="00274733"/>
    <w:rsid w:val="00274FD5"/>
    <w:rsid w:val="002763C4"/>
    <w:rsid w:val="002810F9"/>
    <w:rsid w:val="002860BE"/>
    <w:rsid w:val="00286A96"/>
    <w:rsid w:val="00286EF2"/>
    <w:rsid w:val="00292657"/>
    <w:rsid w:val="00294EBA"/>
    <w:rsid w:val="002970C9"/>
    <w:rsid w:val="002B4B56"/>
    <w:rsid w:val="002B4F91"/>
    <w:rsid w:val="002B6202"/>
    <w:rsid w:val="002B6AA4"/>
    <w:rsid w:val="002D1483"/>
    <w:rsid w:val="002D69F8"/>
    <w:rsid w:val="002D741B"/>
    <w:rsid w:val="002D7A3B"/>
    <w:rsid w:val="002E2652"/>
    <w:rsid w:val="002E55A2"/>
    <w:rsid w:val="002F1850"/>
    <w:rsid w:val="002F7B78"/>
    <w:rsid w:val="002F7BF4"/>
    <w:rsid w:val="00300F22"/>
    <w:rsid w:val="00303CCC"/>
    <w:rsid w:val="00306271"/>
    <w:rsid w:val="003072D0"/>
    <w:rsid w:val="00311CC0"/>
    <w:rsid w:val="00311E07"/>
    <w:rsid w:val="0031531A"/>
    <w:rsid w:val="003169D1"/>
    <w:rsid w:val="00316E02"/>
    <w:rsid w:val="003178A2"/>
    <w:rsid w:val="00323ADC"/>
    <w:rsid w:val="00327ADC"/>
    <w:rsid w:val="0033059A"/>
    <w:rsid w:val="00332520"/>
    <w:rsid w:val="00334BD0"/>
    <w:rsid w:val="0033505A"/>
    <w:rsid w:val="00335221"/>
    <w:rsid w:val="00336539"/>
    <w:rsid w:val="0034035E"/>
    <w:rsid w:val="00344258"/>
    <w:rsid w:val="00345281"/>
    <w:rsid w:val="00350A31"/>
    <w:rsid w:val="00350DFD"/>
    <w:rsid w:val="00350E92"/>
    <w:rsid w:val="00354275"/>
    <w:rsid w:val="00357809"/>
    <w:rsid w:val="00364DEC"/>
    <w:rsid w:val="00373F4A"/>
    <w:rsid w:val="003752F4"/>
    <w:rsid w:val="00376B54"/>
    <w:rsid w:val="003836F5"/>
    <w:rsid w:val="00383B37"/>
    <w:rsid w:val="00384856"/>
    <w:rsid w:val="00386EFA"/>
    <w:rsid w:val="003873B5"/>
    <w:rsid w:val="00387C98"/>
    <w:rsid w:val="00393AB0"/>
    <w:rsid w:val="003961DB"/>
    <w:rsid w:val="00396516"/>
    <w:rsid w:val="003A0AA7"/>
    <w:rsid w:val="003A55CC"/>
    <w:rsid w:val="003A5E69"/>
    <w:rsid w:val="003A6407"/>
    <w:rsid w:val="003B3755"/>
    <w:rsid w:val="003B396C"/>
    <w:rsid w:val="003B696B"/>
    <w:rsid w:val="003C0D31"/>
    <w:rsid w:val="003C3788"/>
    <w:rsid w:val="003C3EE8"/>
    <w:rsid w:val="003C44F7"/>
    <w:rsid w:val="003D0154"/>
    <w:rsid w:val="003D0B33"/>
    <w:rsid w:val="003D123A"/>
    <w:rsid w:val="003D236E"/>
    <w:rsid w:val="003D25C5"/>
    <w:rsid w:val="003D5684"/>
    <w:rsid w:val="003D58FC"/>
    <w:rsid w:val="003D5AA5"/>
    <w:rsid w:val="003D5C3B"/>
    <w:rsid w:val="003D6CE9"/>
    <w:rsid w:val="003D6F4A"/>
    <w:rsid w:val="003D7E2E"/>
    <w:rsid w:val="003E2808"/>
    <w:rsid w:val="003E34CB"/>
    <w:rsid w:val="003E4A42"/>
    <w:rsid w:val="003E58D1"/>
    <w:rsid w:val="003F1A61"/>
    <w:rsid w:val="003F4A2A"/>
    <w:rsid w:val="003F568E"/>
    <w:rsid w:val="00403E8D"/>
    <w:rsid w:val="00406FEF"/>
    <w:rsid w:val="00413B74"/>
    <w:rsid w:val="00415D42"/>
    <w:rsid w:val="0042064A"/>
    <w:rsid w:val="0042272D"/>
    <w:rsid w:val="00424095"/>
    <w:rsid w:val="00432586"/>
    <w:rsid w:val="00434488"/>
    <w:rsid w:val="00434897"/>
    <w:rsid w:val="0043601B"/>
    <w:rsid w:val="00437524"/>
    <w:rsid w:val="00437542"/>
    <w:rsid w:val="00437893"/>
    <w:rsid w:val="00441034"/>
    <w:rsid w:val="00442756"/>
    <w:rsid w:val="00447157"/>
    <w:rsid w:val="004475A5"/>
    <w:rsid w:val="00452358"/>
    <w:rsid w:val="00452688"/>
    <w:rsid w:val="004547AA"/>
    <w:rsid w:val="00455F99"/>
    <w:rsid w:val="004639CA"/>
    <w:rsid w:val="00466905"/>
    <w:rsid w:val="00466C32"/>
    <w:rsid w:val="00470570"/>
    <w:rsid w:val="00472879"/>
    <w:rsid w:val="00482DB0"/>
    <w:rsid w:val="004856E1"/>
    <w:rsid w:val="00485F1E"/>
    <w:rsid w:val="00487C72"/>
    <w:rsid w:val="00494ED4"/>
    <w:rsid w:val="004A47F5"/>
    <w:rsid w:val="004A598B"/>
    <w:rsid w:val="004A6BF3"/>
    <w:rsid w:val="004B55E3"/>
    <w:rsid w:val="004C054F"/>
    <w:rsid w:val="004C086E"/>
    <w:rsid w:val="004C226A"/>
    <w:rsid w:val="004C53FD"/>
    <w:rsid w:val="004C62A0"/>
    <w:rsid w:val="004D35A4"/>
    <w:rsid w:val="004D5407"/>
    <w:rsid w:val="004D7356"/>
    <w:rsid w:val="004D7DB4"/>
    <w:rsid w:val="004E0EB1"/>
    <w:rsid w:val="004E3935"/>
    <w:rsid w:val="004E452D"/>
    <w:rsid w:val="004E470D"/>
    <w:rsid w:val="004E791B"/>
    <w:rsid w:val="004F1DC2"/>
    <w:rsid w:val="004F403C"/>
    <w:rsid w:val="004F44A7"/>
    <w:rsid w:val="005107D3"/>
    <w:rsid w:val="00511D26"/>
    <w:rsid w:val="005205CA"/>
    <w:rsid w:val="005330CB"/>
    <w:rsid w:val="00534344"/>
    <w:rsid w:val="005358F3"/>
    <w:rsid w:val="00542E8F"/>
    <w:rsid w:val="00543B7E"/>
    <w:rsid w:val="00544664"/>
    <w:rsid w:val="00546112"/>
    <w:rsid w:val="005470A5"/>
    <w:rsid w:val="005569AF"/>
    <w:rsid w:val="00557EB2"/>
    <w:rsid w:val="00563D1B"/>
    <w:rsid w:val="00564E2D"/>
    <w:rsid w:val="005801A7"/>
    <w:rsid w:val="0058367B"/>
    <w:rsid w:val="00583C83"/>
    <w:rsid w:val="005840DA"/>
    <w:rsid w:val="00584273"/>
    <w:rsid w:val="00587668"/>
    <w:rsid w:val="00594267"/>
    <w:rsid w:val="005A1485"/>
    <w:rsid w:val="005A5695"/>
    <w:rsid w:val="005A6591"/>
    <w:rsid w:val="005A7BF5"/>
    <w:rsid w:val="005B0BCB"/>
    <w:rsid w:val="005B3126"/>
    <w:rsid w:val="005B58B8"/>
    <w:rsid w:val="005B769C"/>
    <w:rsid w:val="005C11BA"/>
    <w:rsid w:val="005C1A1E"/>
    <w:rsid w:val="005C406D"/>
    <w:rsid w:val="005C7B48"/>
    <w:rsid w:val="005D0840"/>
    <w:rsid w:val="005D1F9D"/>
    <w:rsid w:val="005D4C8A"/>
    <w:rsid w:val="005D740E"/>
    <w:rsid w:val="005D7838"/>
    <w:rsid w:val="005E5C9C"/>
    <w:rsid w:val="005E7E1C"/>
    <w:rsid w:val="005F16C5"/>
    <w:rsid w:val="005F202E"/>
    <w:rsid w:val="005F3487"/>
    <w:rsid w:val="005F5DD7"/>
    <w:rsid w:val="00600462"/>
    <w:rsid w:val="00600CC4"/>
    <w:rsid w:val="006157CC"/>
    <w:rsid w:val="00615DD0"/>
    <w:rsid w:val="0061660E"/>
    <w:rsid w:val="00622BF3"/>
    <w:rsid w:val="006273DE"/>
    <w:rsid w:val="00630661"/>
    <w:rsid w:val="0063112C"/>
    <w:rsid w:val="00634B6D"/>
    <w:rsid w:val="006424E6"/>
    <w:rsid w:val="00647004"/>
    <w:rsid w:val="0065127C"/>
    <w:rsid w:val="00652CD3"/>
    <w:rsid w:val="00657789"/>
    <w:rsid w:val="0066323B"/>
    <w:rsid w:val="0066538C"/>
    <w:rsid w:val="0066599F"/>
    <w:rsid w:val="006703DC"/>
    <w:rsid w:val="00675E32"/>
    <w:rsid w:val="006771C4"/>
    <w:rsid w:val="00681CCE"/>
    <w:rsid w:val="006873E2"/>
    <w:rsid w:val="00690E55"/>
    <w:rsid w:val="00693AC1"/>
    <w:rsid w:val="00693C67"/>
    <w:rsid w:val="00695B0F"/>
    <w:rsid w:val="00695C80"/>
    <w:rsid w:val="006A10EE"/>
    <w:rsid w:val="006A2310"/>
    <w:rsid w:val="006A34F4"/>
    <w:rsid w:val="006A3B9F"/>
    <w:rsid w:val="006A4566"/>
    <w:rsid w:val="006A4B41"/>
    <w:rsid w:val="006A6948"/>
    <w:rsid w:val="006B12F6"/>
    <w:rsid w:val="006B2892"/>
    <w:rsid w:val="006B3E7E"/>
    <w:rsid w:val="006C2BFD"/>
    <w:rsid w:val="006C5D9E"/>
    <w:rsid w:val="006D23DA"/>
    <w:rsid w:val="006D410C"/>
    <w:rsid w:val="006D53F5"/>
    <w:rsid w:val="006E1976"/>
    <w:rsid w:val="006E674C"/>
    <w:rsid w:val="006E6954"/>
    <w:rsid w:val="006F4BBB"/>
    <w:rsid w:val="006F50AC"/>
    <w:rsid w:val="007025AE"/>
    <w:rsid w:val="00703F1E"/>
    <w:rsid w:val="007061E9"/>
    <w:rsid w:val="007151C1"/>
    <w:rsid w:val="0071785D"/>
    <w:rsid w:val="00720115"/>
    <w:rsid w:val="00724CE8"/>
    <w:rsid w:val="00732B5F"/>
    <w:rsid w:val="00735816"/>
    <w:rsid w:val="00735900"/>
    <w:rsid w:val="00741C41"/>
    <w:rsid w:val="00746D85"/>
    <w:rsid w:val="00752474"/>
    <w:rsid w:val="00752CA0"/>
    <w:rsid w:val="00755EC1"/>
    <w:rsid w:val="00756B1E"/>
    <w:rsid w:val="007665F1"/>
    <w:rsid w:val="007676FD"/>
    <w:rsid w:val="00772945"/>
    <w:rsid w:val="00774279"/>
    <w:rsid w:val="00774465"/>
    <w:rsid w:val="00775214"/>
    <w:rsid w:val="00776705"/>
    <w:rsid w:val="00780E43"/>
    <w:rsid w:val="0078140A"/>
    <w:rsid w:val="00782150"/>
    <w:rsid w:val="007827F5"/>
    <w:rsid w:val="007831D2"/>
    <w:rsid w:val="00792E22"/>
    <w:rsid w:val="00794D8F"/>
    <w:rsid w:val="007961CA"/>
    <w:rsid w:val="00797ECB"/>
    <w:rsid w:val="007A309F"/>
    <w:rsid w:val="007A3117"/>
    <w:rsid w:val="007A585E"/>
    <w:rsid w:val="007A7F18"/>
    <w:rsid w:val="007C2443"/>
    <w:rsid w:val="007C2699"/>
    <w:rsid w:val="007C54FB"/>
    <w:rsid w:val="007C59E8"/>
    <w:rsid w:val="007C660C"/>
    <w:rsid w:val="007C676D"/>
    <w:rsid w:val="007C7BDF"/>
    <w:rsid w:val="007D30B6"/>
    <w:rsid w:val="007D7702"/>
    <w:rsid w:val="007E0B66"/>
    <w:rsid w:val="007E330B"/>
    <w:rsid w:val="007E456A"/>
    <w:rsid w:val="007E4F6B"/>
    <w:rsid w:val="007E5AA3"/>
    <w:rsid w:val="007E6DC7"/>
    <w:rsid w:val="007F0DAC"/>
    <w:rsid w:val="007F2163"/>
    <w:rsid w:val="007F2747"/>
    <w:rsid w:val="007F2CC8"/>
    <w:rsid w:val="007F38CB"/>
    <w:rsid w:val="008022CE"/>
    <w:rsid w:val="00802AB6"/>
    <w:rsid w:val="008032F6"/>
    <w:rsid w:val="00806330"/>
    <w:rsid w:val="00806AEB"/>
    <w:rsid w:val="00807F43"/>
    <w:rsid w:val="00807FC7"/>
    <w:rsid w:val="00811D3A"/>
    <w:rsid w:val="00821780"/>
    <w:rsid w:val="00822181"/>
    <w:rsid w:val="00824941"/>
    <w:rsid w:val="008254AB"/>
    <w:rsid w:val="00825B30"/>
    <w:rsid w:val="00825B35"/>
    <w:rsid w:val="008348BD"/>
    <w:rsid w:val="00835F20"/>
    <w:rsid w:val="008365C2"/>
    <w:rsid w:val="00836AB3"/>
    <w:rsid w:val="0084730B"/>
    <w:rsid w:val="0084793B"/>
    <w:rsid w:val="00852583"/>
    <w:rsid w:val="00852FBA"/>
    <w:rsid w:val="008547AF"/>
    <w:rsid w:val="0085580D"/>
    <w:rsid w:val="00855EBB"/>
    <w:rsid w:val="00855F0E"/>
    <w:rsid w:val="008604DB"/>
    <w:rsid w:val="00860A1C"/>
    <w:rsid w:val="00862856"/>
    <w:rsid w:val="00865631"/>
    <w:rsid w:val="00867373"/>
    <w:rsid w:val="00867384"/>
    <w:rsid w:val="00873B01"/>
    <w:rsid w:val="00875B62"/>
    <w:rsid w:val="008764B2"/>
    <w:rsid w:val="00881C11"/>
    <w:rsid w:val="008827E0"/>
    <w:rsid w:val="00890BB7"/>
    <w:rsid w:val="008A2C3B"/>
    <w:rsid w:val="008A375C"/>
    <w:rsid w:val="008A3E5A"/>
    <w:rsid w:val="008A6033"/>
    <w:rsid w:val="008A6533"/>
    <w:rsid w:val="008B1319"/>
    <w:rsid w:val="008B2DE8"/>
    <w:rsid w:val="008B6839"/>
    <w:rsid w:val="008C589C"/>
    <w:rsid w:val="008C61A7"/>
    <w:rsid w:val="008D0761"/>
    <w:rsid w:val="008D49EE"/>
    <w:rsid w:val="008E0C8D"/>
    <w:rsid w:val="008F427F"/>
    <w:rsid w:val="009029F6"/>
    <w:rsid w:val="009033B7"/>
    <w:rsid w:val="00905FC4"/>
    <w:rsid w:val="00913915"/>
    <w:rsid w:val="009161D0"/>
    <w:rsid w:val="00916D6A"/>
    <w:rsid w:val="00920DBF"/>
    <w:rsid w:val="009214C1"/>
    <w:rsid w:val="009232DB"/>
    <w:rsid w:val="00926095"/>
    <w:rsid w:val="00926405"/>
    <w:rsid w:val="009337DA"/>
    <w:rsid w:val="00934C3C"/>
    <w:rsid w:val="009365DE"/>
    <w:rsid w:val="00936892"/>
    <w:rsid w:val="00941B3A"/>
    <w:rsid w:val="0095095E"/>
    <w:rsid w:val="009520E8"/>
    <w:rsid w:val="00952B29"/>
    <w:rsid w:val="00956DC5"/>
    <w:rsid w:val="009571C6"/>
    <w:rsid w:val="009578D9"/>
    <w:rsid w:val="00963B4D"/>
    <w:rsid w:val="00964186"/>
    <w:rsid w:val="00971BE4"/>
    <w:rsid w:val="00972B38"/>
    <w:rsid w:val="00973FB6"/>
    <w:rsid w:val="00975859"/>
    <w:rsid w:val="00976E37"/>
    <w:rsid w:val="00977D63"/>
    <w:rsid w:val="0098450C"/>
    <w:rsid w:val="00985249"/>
    <w:rsid w:val="0098685F"/>
    <w:rsid w:val="009918B6"/>
    <w:rsid w:val="00997AC5"/>
    <w:rsid w:val="009A0D43"/>
    <w:rsid w:val="009A12F3"/>
    <w:rsid w:val="009A3016"/>
    <w:rsid w:val="009A4452"/>
    <w:rsid w:val="009B019D"/>
    <w:rsid w:val="009B1081"/>
    <w:rsid w:val="009B3434"/>
    <w:rsid w:val="009B5242"/>
    <w:rsid w:val="009B61AF"/>
    <w:rsid w:val="009C3A33"/>
    <w:rsid w:val="009C5C42"/>
    <w:rsid w:val="009D2F75"/>
    <w:rsid w:val="009D3BDF"/>
    <w:rsid w:val="009D42AD"/>
    <w:rsid w:val="009D65C5"/>
    <w:rsid w:val="009D7667"/>
    <w:rsid w:val="009E0224"/>
    <w:rsid w:val="009E3CFB"/>
    <w:rsid w:val="009E5333"/>
    <w:rsid w:val="009F0E1A"/>
    <w:rsid w:val="009F2A72"/>
    <w:rsid w:val="009F2CDB"/>
    <w:rsid w:val="009F439D"/>
    <w:rsid w:val="009F4C84"/>
    <w:rsid w:val="00A00BCA"/>
    <w:rsid w:val="00A032AF"/>
    <w:rsid w:val="00A04341"/>
    <w:rsid w:val="00A05C60"/>
    <w:rsid w:val="00A10F5E"/>
    <w:rsid w:val="00A11385"/>
    <w:rsid w:val="00A13556"/>
    <w:rsid w:val="00A13AF2"/>
    <w:rsid w:val="00A14B50"/>
    <w:rsid w:val="00A1670E"/>
    <w:rsid w:val="00A172D4"/>
    <w:rsid w:val="00A21607"/>
    <w:rsid w:val="00A21A0F"/>
    <w:rsid w:val="00A21E94"/>
    <w:rsid w:val="00A224EC"/>
    <w:rsid w:val="00A237C5"/>
    <w:rsid w:val="00A23B85"/>
    <w:rsid w:val="00A23F01"/>
    <w:rsid w:val="00A2561F"/>
    <w:rsid w:val="00A25A28"/>
    <w:rsid w:val="00A26BDB"/>
    <w:rsid w:val="00A27BA7"/>
    <w:rsid w:val="00A30186"/>
    <w:rsid w:val="00A30372"/>
    <w:rsid w:val="00A34B79"/>
    <w:rsid w:val="00A35898"/>
    <w:rsid w:val="00A36B9B"/>
    <w:rsid w:val="00A404A9"/>
    <w:rsid w:val="00A41266"/>
    <w:rsid w:val="00A44A1E"/>
    <w:rsid w:val="00A45155"/>
    <w:rsid w:val="00A516C1"/>
    <w:rsid w:val="00A5227F"/>
    <w:rsid w:val="00A54451"/>
    <w:rsid w:val="00A5529D"/>
    <w:rsid w:val="00A556AE"/>
    <w:rsid w:val="00A56AD4"/>
    <w:rsid w:val="00A7083E"/>
    <w:rsid w:val="00A74D9F"/>
    <w:rsid w:val="00A76728"/>
    <w:rsid w:val="00A77DFD"/>
    <w:rsid w:val="00A8188F"/>
    <w:rsid w:val="00A85AA8"/>
    <w:rsid w:val="00A87AB0"/>
    <w:rsid w:val="00A905E1"/>
    <w:rsid w:val="00A94749"/>
    <w:rsid w:val="00A95F83"/>
    <w:rsid w:val="00A9661C"/>
    <w:rsid w:val="00A97AB6"/>
    <w:rsid w:val="00AA13AF"/>
    <w:rsid w:val="00AA1AF0"/>
    <w:rsid w:val="00AA26F4"/>
    <w:rsid w:val="00AB4D77"/>
    <w:rsid w:val="00AB66B3"/>
    <w:rsid w:val="00AC0432"/>
    <w:rsid w:val="00AC0A04"/>
    <w:rsid w:val="00AC4865"/>
    <w:rsid w:val="00AC5126"/>
    <w:rsid w:val="00AC6379"/>
    <w:rsid w:val="00AC7302"/>
    <w:rsid w:val="00AC7DE7"/>
    <w:rsid w:val="00AD27B6"/>
    <w:rsid w:val="00AE039C"/>
    <w:rsid w:val="00AE3DDC"/>
    <w:rsid w:val="00AE4949"/>
    <w:rsid w:val="00AE5A78"/>
    <w:rsid w:val="00AF0D40"/>
    <w:rsid w:val="00AF638A"/>
    <w:rsid w:val="00AF646B"/>
    <w:rsid w:val="00AF76B3"/>
    <w:rsid w:val="00B03A4A"/>
    <w:rsid w:val="00B0434C"/>
    <w:rsid w:val="00B04DCE"/>
    <w:rsid w:val="00B05A04"/>
    <w:rsid w:val="00B06859"/>
    <w:rsid w:val="00B111BD"/>
    <w:rsid w:val="00B11E88"/>
    <w:rsid w:val="00B12449"/>
    <w:rsid w:val="00B172A7"/>
    <w:rsid w:val="00B17FBC"/>
    <w:rsid w:val="00B225EA"/>
    <w:rsid w:val="00B26555"/>
    <w:rsid w:val="00B27358"/>
    <w:rsid w:val="00B278D1"/>
    <w:rsid w:val="00B27ABD"/>
    <w:rsid w:val="00B30C1D"/>
    <w:rsid w:val="00B3105E"/>
    <w:rsid w:val="00B31D99"/>
    <w:rsid w:val="00B33215"/>
    <w:rsid w:val="00B36BD3"/>
    <w:rsid w:val="00B40E24"/>
    <w:rsid w:val="00B417BD"/>
    <w:rsid w:val="00B41E24"/>
    <w:rsid w:val="00B43C4C"/>
    <w:rsid w:val="00B440E4"/>
    <w:rsid w:val="00B45D4E"/>
    <w:rsid w:val="00B507F9"/>
    <w:rsid w:val="00B51665"/>
    <w:rsid w:val="00B51E67"/>
    <w:rsid w:val="00B562D8"/>
    <w:rsid w:val="00B61E6B"/>
    <w:rsid w:val="00B73C2E"/>
    <w:rsid w:val="00B742FB"/>
    <w:rsid w:val="00B75DF9"/>
    <w:rsid w:val="00B815A1"/>
    <w:rsid w:val="00B82DC6"/>
    <w:rsid w:val="00B87D4E"/>
    <w:rsid w:val="00B87F39"/>
    <w:rsid w:val="00B939FA"/>
    <w:rsid w:val="00B9454B"/>
    <w:rsid w:val="00B94816"/>
    <w:rsid w:val="00B9790D"/>
    <w:rsid w:val="00BA069A"/>
    <w:rsid w:val="00BA1847"/>
    <w:rsid w:val="00BA204A"/>
    <w:rsid w:val="00BA2C19"/>
    <w:rsid w:val="00BA5631"/>
    <w:rsid w:val="00BA7831"/>
    <w:rsid w:val="00BB4758"/>
    <w:rsid w:val="00BC42D7"/>
    <w:rsid w:val="00BC521D"/>
    <w:rsid w:val="00BC64AB"/>
    <w:rsid w:val="00BD1718"/>
    <w:rsid w:val="00BD47C4"/>
    <w:rsid w:val="00BD7146"/>
    <w:rsid w:val="00BE2371"/>
    <w:rsid w:val="00BE3745"/>
    <w:rsid w:val="00BE3E8C"/>
    <w:rsid w:val="00BE46DC"/>
    <w:rsid w:val="00BF10B4"/>
    <w:rsid w:val="00BF2D40"/>
    <w:rsid w:val="00BF4833"/>
    <w:rsid w:val="00BF4E9B"/>
    <w:rsid w:val="00BF5D91"/>
    <w:rsid w:val="00BF6846"/>
    <w:rsid w:val="00BF7C77"/>
    <w:rsid w:val="00C05E04"/>
    <w:rsid w:val="00C077E5"/>
    <w:rsid w:val="00C1365E"/>
    <w:rsid w:val="00C15072"/>
    <w:rsid w:val="00C1664E"/>
    <w:rsid w:val="00C1730D"/>
    <w:rsid w:val="00C17EDD"/>
    <w:rsid w:val="00C20F70"/>
    <w:rsid w:val="00C218EB"/>
    <w:rsid w:val="00C22379"/>
    <w:rsid w:val="00C25217"/>
    <w:rsid w:val="00C26674"/>
    <w:rsid w:val="00C32BF1"/>
    <w:rsid w:val="00C3328F"/>
    <w:rsid w:val="00C33F39"/>
    <w:rsid w:val="00C40BC3"/>
    <w:rsid w:val="00C421A7"/>
    <w:rsid w:val="00C5063A"/>
    <w:rsid w:val="00C561F9"/>
    <w:rsid w:val="00C5638D"/>
    <w:rsid w:val="00C57A84"/>
    <w:rsid w:val="00C60666"/>
    <w:rsid w:val="00C606D6"/>
    <w:rsid w:val="00C61C3D"/>
    <w:rsid w:val="00C641E2"/>
    <w:rsid w:val="00C70D95"/>
    <w:rsid w:val="00C70FD2"/>
    <w:rsid w:val="00C71D4F"/>
    <w:rsid w:val="00C72D58"/>
    <w:rsid w:val="00C7364A"/>
    <w:rsid w:val="00C7404E"/>
    <w:rsid w:val="00C80039"/>
    <w:rsid w:val="00C80622"/>
    <w:rsid w:val="00C81721"/>
    <w:rsid w:val="00C81A8B"/>
    <w:rsid w:val="00C873B3"/>
    <w:rsid w:val="00C97AEA"/>
    <w:rsid w:val="00CA0FA9"/>
    <w:rsid w:val="00CA5070"/>
    <w:rsid w:val="00CB31AC"/>
    <w:rsid w:val="00CB48C0"/>
    <w:rsid w:val="00CB6835"/>
    <w:rsid w:val="00CB6CA1"/>
    <w:rsid w:val="00CC0E51"/>
    <w:rsid w:val="00CC24E4"/>
    <w:rsid w:val="00CC2F37"/>
    <w:rsid w:val="00CC511F"/>
    <w:rsid w:val="00CC51CC"/>
    <w:rsid w:val="00CC53E9"/>
    <w:rsid w:val="00CD0AA8"/>
    <w:rsid w:val="00CD3560"/>
    <w:rsid w:val="00CD40EF"/>
    <w:rsid w:val="00CD50F1"/>
    <w:rsid w:val="00CD593A"/>
    <w:rsid w:val="00CD67B3"/>
    <w:rsid w:val="00CE043B"/>
    <w:rsid w:val="00CE3533"/>
    <w:rsid w:val="00CF1196"/>
    <w:rsid w:val="00CF477C"/>
    <w:rsid w:val="00CF5195"/>
    <w:rsid w:val="00CF5A12"/>
    <w:rsid w:val="00D00874"/>
    <w:rsid w:val="00D00C3B"/>
    <w:rsid w:val="00D061FA"/>
    <w:rsid w:val="00D07761"/>
    <w:rsid w:val="00D1147B"/>
    <w:rsid w:val="00D12CF9"/>
    <w:rsid w:val="00D15571"/>
    <w:rsid w:val="00D17696"/>
    <w:rsid w:val="00D2634C"/>
    <w:rsid w:val="00D27B27"/>
    <w:rsid w:val="00D27EFD"/>
    <w:rsid w:val="00D30B1B"/>
    <w:rsid w:val="00D31080"/>
    <w:rsid w:val="00D31FAD"/>
    <w:rsid w:val="00D321A9"/>
    <w:rsid w:val="00D34DE7"/>
    <w:rsid w:val="00D363A6"/>
    <w:rsid w:val="00D46CBD"/>
    <w:rsid w:val="00D5040A"/>
    <w:rsid w:val="00D5555E"/>
    <w:rsid w:val="00D603B2"/>
    <w:rsid w:val="00D66725"/>
    <w:rsid w:val="00D66B1E"/>
    <w:rsid w:val="00D67466"/>
    <w:rsid w:val="00D67FF2"/>
    <w:rsid w:val="00D7709C"/>
    <w:rsid w:val="00D82BE9"/>
    <w:rsid w:val="00D851E7"/>
    <w:rsid w:val="00D93D17"/>
    <w:rsid w:val="00D970F2"/>
    <w:rsid w:val="00DA035B"/>
    <w:rsid w:val="00DA1E8D"/>
    <w:rsid w:val="00DA2FFF"/>
    <w:rsid w:val="00DA3B73"/>
    <w:rsid w:val="00DB0F32"/>
    <w:rsid w:val="00DB1615"/>
    <w:rsid w:val="00DB2AB7"/>
    <w:rsid w:val="00DB2E00"/>
    <w:rsid w:val="00DB58CC"/>
    <w:rsid w:val="00DB79E6"/>
    <w:rsid w:val="00DB7B35"/>
    <w:rsid w:val="00DC20B7"/>
    <w:rsid w:val="00DC65E7"/>
    <w:rsid w:val="00DE1AEA"/>
    <w:rsid w:val="00DF324B"/>
    <w:rsid w:val="00DF3B1B"/>
    <w:rsid w:val="00DF4FF4"/>
    <w:rsid w:val="00DF70EE"/>
    <w:rsid w:val="00E0141E"/>
    <w:rsid w:val="00E02D6B"/>
    <w:rsid w:val="00E03526"/>
    <w:rsid w:val="00E04E9F"/>
    <w:rsid w:val="00E2790D"/>
    <w:rsid w:val="00E27AC4"/>
    <w:rsid w:val="00E31641"/>
    <w:rsid w:val="00E37696"/>
    <w:rsid w:val="00E43357"/>
    <w:rsid w:val="00E45B28"/>
    <w:rsid w:val="00E5179B"/>
    <w:rsid w:val="00E54144"/>
    <w:rsid w:val="00E54CC4"/>
    <w:rsid w:val="00E66F5B"/>
    <w:rsid w:val="00E70794"/>
    <w:rsid w:val="00E74D1F"/>
    <w:rsid w:val="00E75F3E"/>
    <w:rsid w:val="00E868A2"/>
    <w:rsid w:val="00E90066"/>
    <w:rsid w:val="00E921C0"/>
    <w:rsid w:val="00E9387D"/>
    <w:rsid w:val="00E9664F"/>
    <w:rsid w:val="00EA2E57"/>
    <w:rsid w:val="00EA3B08"/>
    <w:rsid w:val="00EA6D04"/>
    <w:rsid w:val="00EA75D6"/>
    <w:rsid w:val="00EA7CCA"/>
    <w:rsid w:val="00EB0827"/>
    <w:rsid w:val="00EB0A07"/>
    <w:rsid w:val="00EB5A6F"/>
    <w:rsid w:val="00EB5B68"/>
    <w:rsid w:val="00EB6300"/>
    <w:rsid w:val="00EC097B"/>
    <w:rsid w:val="00EC400C"/>
    <w:rsid w:val="00EC693C"/>
    <w:rsid w:val="00EC75D0"/>
    <w:rsid w:val="00ED32CA"/>
    <w:rsid w:val="00EE08DD"/>
    <w:rsid w:val="00EE2A89"/>
    <w:rsid w:val="00EE30CC"/>
    <w:rsid w:val="00EE3F69"/>
    <w:rsid w:val="00EE45F7"/>
    <w:rsid w:val="00EE4CFF"/>
    <w:rsid w:val="00EE5013"/>
    <w:rsid w:val="00EE555D"/>
    <w:rsid w:val="00EE79E9"/>
    <w:rsid w:val="00EF15EB"/>
    <w:rsid w:val="00EF4E6E"/>
    <w:rsid w:val="00EF752F"/>
    <w:rsid w:val="00F043AC"/>
    <w:rsid w:val="00F043B2"/>
    <w:rsid w:val="00F04567"/>
    <w:rsid w:val="00F10302"/>
    <w:rsid w:val="00F16A44"/>
    <w:rsid w:val="00F206E9"/>
    <w:rsid w:val="00F27E11"/>
    <w:rsid w:val="00F30921"/>
    <w:rsid w:val="00F3482D"/>
    <w:rsid w:val="00F417EC"/>
    <w:rsid w:val="00F4185A"/>
    <w:rsid w:val="00F4713F"/>
    <w:rsid w:val="00F51BC9"/>
    <w:rsid w:val="00F521B3"/>
    <w:rsid w:val="00F56EB2"/>
    <w:rsid w:val="00F6095B"/>
    <w:rsid w:val="00F61178"/>
    <w:rsid w:val="00F61D5B"/>
    <w:rsid w:val="00F63EA5"/>
    <w:rsid w:val="00F64742"/>
    <w:rsid w:val="00F67B1D"/>
    <w:rsid w:val="00F7003B"/>
    <w:rsid w:val="00F73315"/>
    <w:rsid w:val="00F74611"/>
    <w:rsid w:val="00F76168"/>
    <w:rsid w:val="00F76568"/>
    <w:rsid w:val="00F8563A"/>
    <w:rsid w:val="00F9118F"/>
    <w:rsid w:val="00F9548C"/>
    <w:rsid w:val="00F96FA5"/>
    <w:rsid w:val="00FA293A"/>
    <w:rsid w:val="00FB040B"/>
    <w:rsid w:val="00FB2BF1"/>
    <w:rsid w:val="00FB6F17"/>
    <w:rsid w:val="00FB786E"/>
    <w:rsid w:val="00FC1263"/>
    <w:rsid w:val="00FC1278"/>
    <w:rsid w:val="00FC185F"/>
    <w:rsid w:val="00FC2B19"/>
    <w:rsid w:val="00FC3646"/>
    <w:rsid w:val="00FC3BAF"/>
    <w:rsid w:val="00FC4673"/>
    <w:rsid w:val="00FC4E09"/>
    <w:rsid w:val="00FC693C"/>
    <w:rsid w:val="00FD1A33"/>
    <w:rsid w:val="00FD5944"/>
    <w:rsid w:val="00FD5F42"/>
    <w:rsid w:val="00FE4DE4"/>
    <w:rsid w:val="00FE5112"/>
    <w:rsid w:val="00FE7CF0"/>
    <w:rsid w:val="00FF0BA8"/>
    <w:rsid w:val="00FF6151"/>
    <w:rsid w:val="01260839"/>
    <w:rsid w:val="013C3467"/>
    <w:rsid w:val="023B77EE"/>
    <w:rsid w:val="026A4716"/>
    <w:rsid w:val="027B5DC3"/>
    <w:rsid w:val="039D4BB2"/>
    <w:rsid w:val="03A0679F"/>
    <w:rsid w:val="03A2413D"/>
    <w:rsid w:val="03EF2E89"/>
    <w:rsid w:val="049E09E1"/>
    <w:rsid w:val="04AB3767"/>
    <w:rsid w:val="04C040D9"/>
    <w:rsid w:val="05040997"/>
    <w:rsid w:val="050712D4"/>
    <w:rsid w:val="050943A3"/>
    <w:rsid w:val="06D934B9"/>
    <w:rsid w:val="07550964"/>
    <w:rsid w:val="07C12EFC"/>
    <w:rsid w:val="08315AE4"/>
    <w:rsid w:val="089622A1"/>
    <w:rsid w:val="09440B91"/>
    <w:rsid w:val="096C3D58"/>
    <w:rsid w:val="098A416B"/>
    <w:rsid w:val="09AE49FB"/>
    <w:rsid w:val="09BD4B14"/>
    <w:rsid w:val="09CC55DB"/>
    <w:rsid w:val="09DB6389"/>
    <w:rsid w:val="0A135047"/>
    <w:rsid w:val="0A7C56AB"/>
    <w:rsid w:val="0A931CCC"/>
    <w:rsid w:val="0A9614F7"/>
    <w:rsid w:val="0ACF7F3C"/>
    <w:rsid w:val="0B207547"/>
    <w:rsid w:val="0B3363A5"/>
    <w:rsid w:val="0BA47566"/>
    <w:rsid w:val="0BC5363C"/>
    <w:rsid w:val="0BEC326B"/>
    <w:rsid w:val="0D662E1B"/>
    <w:rsid w:val="0D7528AA"/>
    <w:rsid w:val="0D7911D4"/>
    <w:rsid w:val="0D7E402B"/>
    <w:rsid w:val="0DDB6662"/>
    <w:rsid w:val="0E2C15CA"/>
    <w:rsid w:val="0E405D64"/>
    <w:rsid w:val="0EF96E2C"/>
    <w:rsid w:val="0F336B65"/>
    <w:rsid w:val="0F4A5B42"/>
    <w:rsid w:val="0F610683"/>
    <w:rsid w:val="10592039"/>
    <w:rsid w:val="109B3ABA"/>
    <w:rsid w:val="11C6545F"/>
    <w:rsid w:val="120D65E9"/>
    <w:rsid w:val="123A58E2"/>
    <w:rsid w:val="123E47B4"/>
    <w:rsid w:val="127A3252"/>
    <w:rsid w:val="12A10E29"/>
    <w:rsid w:val="12A67645"/>
    <w:rsid w:val="12C625A1"/>
    <w:rsid w:val="136351C1"/>
    <w:rsid w:val="13A36A03"/>
    <w:rsid w:val="13BA2746"/>
    <w:rsid w:val="14111CCD"/>
    <w:rsid w:val="14331A56"/>
    <w:rsid w:val="14401C50"/>
    <w:rsid w:val="14CC57A9"/>
    <w:rsid w:val="14D743A4"/>
    <w:rsid w:val="151D1A1E"/>
    <w:rsid w:val="15286322"/>
    <w:rsid w:val="15970DCC"/>
    <w:rsid w:val="159940AD"/>
    <w:rsid w:val="15EF53F5"/>
    <w:rsid w:val="16816E15"/>
    <w:rsid w:val="16B52CDF"/>
    <w:rsid w:val="16B96701"/>
    <w:rsid w:val="16C01C56"/>
    <w:rsid w:val="16DF7A1D"/>
    <w:rsid w:val="16E3425F"/>
    <w:rsid w:val="17404863"/>
    <w:rsid w:val="17425E26"/>
    <w:rsid w:val="17D53C63"/>
    <w:rsid w:val="19522482"/>
    <w:rsid w:val="19AB1947"/>
    <w:rsid w:val="19D36991"/>
    <w:rsid w:val="1A0F29CE"/>
    <w:rsid w:val="1A512E44"/>
    <w:rsid w:val="1AF17E9E"/>
    <w:rsid w:val="1B1D2F83"/>
    <w:rsid w:val="1B314CA3"/>
    <w:rsid w:val="1B4439AF"/>
    <w:rsid w:val="1B666CDB"/>
    <w:rsid w:val="1BB72CF9"/>
    <w:rsid w:val="1BD51B45"/>
    <w:rsid w:val="1C6101AF"/>
    <w:rsid w:val="1C7D5110"/>
    <w:rsid w:val="1CAA7519"/>
    <w:rsid w:val="1CDD2E6B"/>
    <w:rsid w:val="1D0762CE"/>
    <w:rsid w:val="1DAB70DF"/>
    <w:rsid w:val="1DBF7B63"/>
    <w:rsid w:val="1DF44F48"/>
    <w:rsid w:val="1E0568CD"/>
    <w:rsid w:val="1EA16FC4"/>
    <w:rsid w:val="1EA84011"/>
    <w:rsid w:val="1ED1522B"/>
    <w:rsid w:val="1ED517C6"/>
    <w:rsid w:val="1EF4764C"/>
    <w:rsid w:val="1F4D3B27"/>
    <w:rsid w:val="1F7E1511"/>
    <w:rsid w:val="1FB01D86"/>
    <w:rsid w:val="1FD50421"/>
    <w:rsid w:val="20190C7F"/>
    <w:rsid w:val="20617A31"/>
    <w:rsid w:val="20DC459A"/>
    <w:rsid w:val="20E5193D"/>
    <w:rsid w:val="214B1773"/>
    <w:rsid w:val="21AF18D1"/>
    <w:rsid w:val="21FF10AF"/>
    <w:rsid w:val="22473076"/>
    <w:rsid w:val="22692419"/>
    <w:rsid w:val="22A938AE"/>
    <w:rsid w:val="22B23110"/>
    <w:rsid w:val="238122E9"/>
    <w:rsid w:val="242510D1"/>
    <w:rsid w:val="242704D2"/>
    <w:rsid w:val="24694A3C"/>
    <w:rsid w:val="24724B39"/>
    <w:rsid w:val="24A00306"/>
    <w:rsid w:val="24B06B8E"/>
    <w:rsid w:val="24B138DC"/>
    <w:rsid w:val="254C7858"/>
    <w:rsid w:val="25845F5D"/>
    <w:rsid w:val="25CF5446"/>
    <w:rsid w:val="26102913"/>
    <w:rsid w:val="26414077"/>
    <w:rsid w:val="264C4A8E"/>
    <w:rsid w:val="26535B8B"/>
    <w:rsid w:val="27181332"/>
    <w:rsid w:val="271F2429"/>
    <w:rsid w:val="27433A64"/>
    <w:rsid w:val="2743611E"/>
    <w:rsid w:val="27663D59"/>
    <w:rsid w:val="277F4348"/>
    <w:rsid w:val="27C368DA"/>
    <w:rsid w:val="2867754C"/>
    <w:rsid w:val="290660EB"/>
    <w:rsid w:val="29544106"/>
    <w:rsid w:val="29790887"/>
    <w:rsid w:val="297C4B11"/>
    <w:rsid w:val="29852671"/>
    <w:rsid w:val="29BC27F0"/>
    <w:rsid w:val="2A234E87"/>
    <w:rsid w:val="2A9826BE"/>
    <w:rsid w:val="2AAA4FD2"/>
    <w:rsid w:val="2AD95A7D"/>
    <w:rsid w:val="2AF4150E"/>
    <w:rsid w:val="2B1734AD"/>
    <w:rsid w:val="2B297C45"/>
    <w:rsid w:val="2B487025"/>
    <w:rsid w:val="2B4F60A5"/>
    <w:rsid w:val="2BA75B22"/>
    <w:rsid w:val="2BBC69D3"/>
    <w:rsid w:val="2BBD06A6"/>
    <w:rsid w:val="2C372FAF"/>
    <w:rsid w:val="2C6716B5"/>
    <w:rsid w:val="2CA6248B"/>
    <w:rsid w:val="2D38175A"/>
    <w:rsid w:val="2D454B83"/>
    <w:rsid w:val="2D9729C7"/>
    <w:rsid w:val="2DD93CFD"/>
    <w:rsid w:val="2E077D4A"/>
    <w:rsid w:val="2E6C253B"/>
    <w:rsid w:val="2E9542E5"/>
    <w:rsid w:val="2EA63F9D"/>
    <w:rsid w:val="2EC11059"/>
    <w:rsid w:val="2F4660E7"/>
    <w:rsid w:val="2F703331"/>
    <w:rsid w:val="2FAA7B1F"/>
    <w:rsid w:val="30255F22"/>
    <w:rsid w:val="305D4B74"/>
    <w:rsid w:val="30627FF4"/>
    <w:rsid w:val="308C1AC4"/>
    <w:rsid w:val="30D324A6"/>
    <w:rsid w:val="30E845EB"/>
    <w:rsid w:val="31785F81"/>
    <w:rsid w:val="31B36311"/>
    <w:rsid w:val="31EC52F2"/>
    <w:rsid w:val="32076481"/>
    <w:rsid w:val="322A636E"/>
    <w:rsid w:val="32680960"/>
    <w:rsid w:val="32BC50C5"/>
    <w:rsid w:val="32DC0580"/>
    <w:rsid w:val="32E3685D"/>
    <w:rsid w:val="32E619D6"/>
    <w:rsid w:val="33E81161"/>
    <w:rsid w:val="3400774E"/>
    <w:rsid w:val="34096CE5"/>
    <w:rsid w:val="341A5377"/>
    <w:rsid w:val="349B0260"/>
    <w:rsid w:val="34B10005"/>
    <w:rsid w:val="34CC7603"/>
    <w:rsid w:val="350E4672"/>
    <w:rsid w:val="352F45B7"/>
    <w:rsid w:val="353F6BA7"/>
    <w:rsid w:val="35627855"/>
    <w:rsid w:val="35BA37F6"/>
    <w:rsid w:val="36507A88"/>
    <w:rsid w:val="369F6985"/>
    <w:rsid w:val="36CD76E6"/>
    <w:rsid w:val="371B176E"/>
    <w:rsid w:val="373A0739"/>
    <w:rsid w:val="377259D7"/>
    <w:rsid w:val="37FB4FE4"/>
    <w:rsid w:val="384A379C"/>
    <w:rsid w:val="385D5EA6"/>
    <w:rsid w:val="38BF4F37"/>
    <w:rsid w:val="38C97D72"/>
    <w:rsid w:val="38CE73F1"/>
    <w:rsid w:val="390851E8"/>
    <w:rsid w:val="3932744F"/>
    <w:rsid w:val="395B6F27"/>
    <w:rsid w:val="39EB0F28"/>
    <w:rsid w:val="3A0154F8"/>
    <w:rsid w:val="3BEB7208"/>
    <w:rsid w:val="3BF01781"/>
    <w:rsid w:val="3C561CBC"/>
    <w:rsid w:val="3C63122F"/>
    <w:rsid w:val="3C8723E4"/>
    <w:rsid w:val="3CC65784"/>
    <w:rsid w:val="3CCD78E9"/>
    <w:rsid w:val="3CF62D61"/>
    <w:rsid w:val="3DAE15A0"/>
    <w:rsid w:val="3DC311C0"/>
    <w:rsid w:val="3DDA1819"/>
    <w:rsid w:val="3E461F39"/>
    <w:rsid w:val="3E6C4F99"/>
    <w:rsid w:val="3EAF4D59"/>
    <w:rsid w:val="3F194C0C"/>
    <w:rsid w:val="3F925CA4"/>
    <w:rsid w:val="3FE870EC"/>
    <w:rsid w:val="3FEB24FD"/>
    <w:rsid w:val="40253577"/>
    <w:rsid w:val="4089744B"/>
    <w:rsid w:val="409117E6"/>
    <w:rsid w:val="40C119EB"/>
    <w:rsid w:val="40E47503"/>
    <w:rsid w:val="414270B4"/>
    <w:rsid w:val="417C2E33"/>
    <w:rsid w:val="41951829"/>
    <w:rsid w:val="41C31011"/>
    <w:rsid w:val="41C84555"/>
    <w:rsid w:val="41D4432C"/>
    <w:rsid w:val="41EF5427"/>
    <w:rsid w:val="42203A13"/>
    <w:rsid w:val="42766671"/>
    <w:rsid w:val="42DE0E7F"/>
    <w:rsid w:val="430316F6"/>
    <w:rsid w:val="43085E32"/>
    <w:rsid w:val="430E7DE5"/>
    <w:rsid w:val="43664476"/>
    <w:rsid w:val="43734FD7"/>
    <w:rsid w:val="43BB5E37"/>
    <w:rsid w:val="43D517CA"/>
    <w:rsid w:val="444D7907"/>
    <w:rsid w:val="44786C20"/>
    <w:rsid w:val="44FC1626"/>
    <w:rsid w:val="465016DD"/>
    <w:rsid w:val="466E1F3E"/>
    <w:rsid w:val="47586E11"/>
    <w:rsid w:val="476755EA"/>
    <w:rsid w:val="478D7D3E"/>
    <w:rsid w:val="484C171A"/>
    <w:rsid w:val="489654EC"/>
    <w:rsid w:val="48C163F6"/>
    <w:rsid w:val="48D51BF6"/>
    <w:rsid w:val="497A2870"/>
    <w:rsid w:val="49BD4FC8"/>
    <w:rsid w:val="49EB487F"/>
    <w:rsid w:val="4B270DB8"/>
    <w:rsid w:val="4B2938E3"/>
    <w:rsid w:val="4B7729D2"/>
    <w:rsid w:val="4BE60B0A"/>
    <w:rsid w:val="4C083A4B"/>
    <w:rsid w:val="4C1B24A8"/>
    <w:rsid w:val="4CF172F4"/>
    <w:rsid w:val="4D0938B3"/>
    <w:rsid w:val="4D3A43CA"/>
    <w:rsid w:val="4D4B6F29"/>
    <w:rsid w:val="4D687C9C"/>
    <w:rsid w:val="4DB856F1"/>
    <w:rsid w:val="4EA87F4E"/>
    <w:rsid w:val="4F165C44"/>
    <w:rsid w:val="4FC14F36"/>
    <w:rsid w:val="500E147B"/>
    <w:rsid w:val="504C1530"/>
    <w:rsid w:val="50770566"/>
    <w:rsid w:val="50875ECF"/>
    <w:rsid w:val="50BF5395"/>
    <w:rsid w:val="512F1352"/>
    <w:rsid w:val="51820FEB"/>
    <w:rsid w:val="519E59FF"/>
    <w:rsid w:val="51CA6CB3"/>
    <w:rsid w:val="51DD5BB9"/>
    <w:rsid w:val="51E8572E"/>
    <w:rsid w:val="51F96326"/>
    <w:rsid w:val="52790E25"/>
    <w:rsid w:val="5407351D"/>
    <w:rsid w:val="54867458"/>
    <w:rsid w:val="54870502"/>
    <w:rsid w:val="54A51596"/>
    <w:rsid w:val="557A58D8"/>
    <w:rsid w:val="55813533"/>
    <w:rsid w:val="55F24DD5"/>
    <w:rsid w:val="562F75ED"/>
    <w:rsid w:val="5638212B"/>
    <w:rsid w:val="567A1D0D"/>
    <w:rsid w:val="56AB63C7"/>
    <w:rsid w:val="56DF6A7D"/>
    <w:rsid w:val="56F60B0C"/>
    <w:rsid w:val="57DB1F04"/>
    <w:rsid w:val="57E77576"/>
    <w:rsid w:val="57F16830"/>
    <w:rsid w:val="588704D0"/>
    <w:rsid w:val="589A316D"/>
    <w:rsid w:val="5A4574C2"/>
    <w:rsid w:val="5A8C4E9F"/>
    <w:rsid w:val="5ABB111E"/>
    <w:rsid w:val="5ABF2B9B"/>
    <w:rsid w:val="5AE623E7"/>
    <w:rsid w:val="5AFE018E"/>
    <w:rsid w:val="5B263798"/>
    <w:rsid w:val="5BAF0605"/>
    <w:rsid w:val="5CCC5421"/>
    <w:rsid w:val="5CE269F7"/>
    <w:rsid w:val="5D1058CF"/>
    <w:rsid w:val="5D230D18"/>
    <w:rsid w:val="5D7C0CCE"/>
    <w:rsid w:val="5DA54C58"/>
    <w:rsid w:val="5E452237"/>
    <w:rsid w:val="5E67718E"/>
    <w:rsid w:val="5E6A429F"/>
    <w:rsid w:val="5E6F3A69"/>
    <w:rsid w:val="5EF67713"/>
    <w:rsid w:val="5EFC3281"/>
    <w:rsid w:val="5F844ACA"/>
    <w:rsid w:val="5FBE7B8D"/>
    <w:rsid w:val="600B2D06"/>
    <w:rsid w:val="60B347D3"/>
    <w:rsid w:val="60E7231C"/>
    <w:rsid w:val="61514B28"/>
    <w:rsid w:val="61A14258"/>
    <w:rsid w:val="623F31D1"/>
    <w:rsid w:val="6289551B"/>
    <w:rsid w:val="62FF0B4A"/>
    <w:rsid w:val="630A17E8"/>
    <w:rsid w:val="631D1ABC"/>
    <w:rsid w:val="63B57B6E"/>
    <w:rsid w:val="63B907A6"/>
    <w:rsid w:val="6410797D"/>
    <w:rsid w:val="642F3A60"/>
    <w:rsid w:val="64620F28"/>
    <w:rsid w:val="646629DB"/>
    <w:rsid w:val="65552786"/>
    <w:rsid w:val="6571106D"/>
    <w:rsid w:val="658467D7"/>
    <w:rsid w:val="65E45686"/>
    <w:rsid w:val="65F36728"/>
    <w:rsid w:val="665273C2"/>
    <w:rsid w:val="66A32A36"/>
    <w:rsid w:val="66C42E29"/>
    <w:rsid w:val="66CE5946"/>
    <w:rsid w:val="66EE5633"/>
    <w:rsid w:val="67D50676"/>
    <w:rsid w:val="67D70980"/>
    <w:rsid w:val="680C12C5"/>
    <w:rsid w:val="681B6169"/>
    <w:rsid w:val="686D6477"/>
    <w:rsid w:val="68C434BA"/>
    <w:rsid w:val="68F5592D"/>
    <w:rsid w:val="691C286F"/>
    <w:rsid w:val="69A42CD8"/>
    <w:rsid w:val="6A602580"/>
    <w:rsid w:val="6A754630"/>
    <w:rsid w:val="6A86395A"/>
    <w:rsid w:val="6AB67485"/>
    <w:rsid w:val="6B34594B"/>
    <w:rsid w:val="6B47306C"/>
    <w:rsid w:val="6B944A74"/>
    <w:rsid w:val="6BB8769E"/>
    <w:rsid w:val="6C1B0222"/>
    <w:rsid w:val="6C313DDC"/>
    <w:rsid w:val="6C823754"/>
    <w:rsid w:val="6D011506"/>
    <w:rsid w:val="6D295820"/>
    <w:rsid w:val="6D3214FC"/>
    <w:rsid w:val="6D5B01C9"/>
    <w:rsid w:val="6D6C0678"/>
    <w:rsid w:val="6E9466B0"/>
    <w:rsid w:val="6E9F74E3"/>
    <w:rsid w:val="6EE34D6A"/>
    <w:rsid w:val="6FB25DB8"/>
    <w:rsid w:val="70363E0B"/>
    <w:rsid w:val="709F4900"/>
    <w:rsid w:val="710325D3"/>
    <w:rsid w:val="723A45AD"/>
    <w:rsid w:val="72531FA3"/>
    <w:rsid w:val="72705D19"/>
    <w:rsid w:val="727174AA"/>
    <w:rsid w:val="7289133B"/>
    <w:rsid w:val="73156B66"/>
    <w:rsid w:val="73226D48"/>
    <w:rsid w:val="73286377"/>
    <w:rsid w:val="73817D0B"/>
    <w:rsid w:val="73B57CFE"/>
    <w:rsid w:val="73B61857"/>
    <w:rsid w:val="73CB6B8D"/>
    <w:rsid w:val="74007DA1"/>
    <w:rsid w:val="742547B5"/>
    <w:rsid w:val="74C02636"/>
    <w:rsid w:val="75326896"/>
    <w:rsid w:val="758602FC"/>
    <w:rsid w:val="75AA3341"/>
    <w:rsid w:val="75AE440F"/>
    <w:rsid w:val="76935006"/>
    <w:rsid w:val="76E04031"/>
    <w:rsid w:val="76ED19F4"/>
    <w:rsid w:val="76EF4F42"/>
    <w:rsid w:val="770463B1"/>
    <w:rsid w:val="775564E2"/>
    <w:rsid w:val="776D13AB"/>
    <w:rsid w:val="779037F0"/>
    <w:rsid w:val="77935078"/>
    <w:rsid w:val="77987AB3"/>
    <w:rsid w:val="77EE42FE"/>
    <w:rsid w:val="77F21DB1"/>
    <w:rsid w:val="782C3E1E"/>
    <w:rsid w:val="784F117B"/>
    <w:rsid w:val="78660669"/>
    <w:rsid w:val="78C64AA1"/>
    <w:rsid w:val="7910631F"/>
    <w:rsid w:val="799A0438"/>
    <w:rsid w:val="79A90E21"/>
    <w:rsid w:val="79C82708"/>
    <w:rsid w:val="7A2D327A"/>
    <w:rsid w:val="7A5306CD"/>
    <w:rsid w:val="7A5A30A9"/>
    <w:rsid w:val="7AC411BD"/>
    <w:rsid w:val="7AF8631B"/>
    <w:rsid w:val="7B1A486A"/>
    <w:rsid w:val="7B813E3E"/>
    <w:rsid w:val="7C28197F"/>
    <w:rsid w:val="7C3F3B36"/>
    <w:rsid w:val="7C4B5F48"/>
    <w:rsid w:val="7C9F4291"/>
    <w:rsid w:val="7CDC2BCB"/>
    <w:rsid w:val="7CE8400A"/>
    <w:rsid w:val="7D0070FC"/>
    <w:rsid w:val="7D2C13C7"/>
    <w:rsid w:val="7EAE6D30"/>
    <w:rsid w:val="7F160A95"/>
    <w:rsid w:val="7F66200A"/>
    <w:rsid w:val="7FEB4F0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Calibri"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360" w:lineRule="auto"/>
    </w:pPr>
    <w:rPr>
      <w:rFonts w:ascii="Times New Roman" w:hAnsi="Times New Roman" w:eastAsia="Calibri" w:cs="Times New Roman"/>
      <w:sz w:val="24"/>
      <w:lang w:val="en-US" w:eastAsia="en-US" w:bidi="ar-SA"/>
    </w:rPr>
  </w:style>
  <w:style w:type="paragraph" w:styleId="2">
    <w:name w:val="heading 1"/>
    <w:basedOn w:val="1"/>
    <w:next w:val="1"/>
    <w:link w:val="20"/>
    <w:qFormat/>
    <w:uiPriority w:val="9"/>
    <w:pPr>
      <w:keepNext/>
      <w:keepLines/>
      <w:spacing w:before="480"/>
      <w:outlineLvl w:val="0"/>
    </w:pPr>
    <w:rPr>
      <w:rFonts w:ascii="Cambria" w:hAnsi="Cambria" w:eastAsia="Times New Roman"/>
      <w:b/>
      <w:bCs/>
      <w:color w:val="365F91"/>
      <w:sz w:val="28"/>
      <w:szCs w:val="28"/>
    </w:rPr>
  </w:style>
  <w:style w:type="paragraph" w:styleId="3">
    <w:name w:val="heading 2"/>
    <w:basedOn w:val="1"/>
    <w:next w:val="1"/>
    <w:link w:val="21"/>
    <w:unhideWhenUsed/>
    <w:qFormat/>
    <w:uiPriority w:val="9"/>
    <w:pPr>
      <w:keepNext/>
      <w:keepLines/>
      <w:spacing w:before="200"/>
      <w:outlineLvl w:val="1"/>
    </w:pPr>
    <w:rPr>
      <w:rFonts w:ascii="Cambria" w:hAnsi="Cambria" w:eastAsia="Times New Roman"/>
      <w:b/>
      <w:bCs/>
      <w:color w:val="4F81BD"/>
      <w:sz w:val="26"/>
      <w:szCs w:val="26"/>
    </w:rPr>
  </w:style>
  <w:style w:type="paragraph" w:styleId="4">
    <w:name w:val="heading 3"/>
    <w:basedOn w:val="1"/>
    <w:next w:val="1"/>
    <w:link w:val="22"/>
    <w:unhideWhenUsed/>
    <w:qFormat/>
    <w:uiPriority w:val="9"/>
    <w:pPr>
      <w:keepNext/>
      <w:keepLines/>
      <w:spacing w:before="200"/>
      <w:outlineLvl w:val="2"/>
    </w:pPr>
    <w:rPr>
      <w:rFonts w:ascii="Cambria" w:hAnsi="Cambria" w:eastAsia="Times New Roman"/>
      <w:b/>
      <w:bCs/>
      <w:color w:val="4F81BD"/>
      <w:sz w:val="20"/>
    </w:rPr>
  </w:style>
  <w:style w:type="character" w:default="1" w:styleId="13">
    <w:name w:val="Default Paragraph Font"/>
    <w:semiHidden/>
    <w:unhideWhenUsed/>
    <w:uiPriority w:val="1"/>
  </w:style>
  <w:style w:type="table" w:default="1" w:styleId="15">
    <w:name w:val="Normal Table"/>
    <w:semiHidden/>
    <w:unhideWhenUsed/>
    <w:qFormat/>
    <w:uiPriority w:val="99"/>
    <w:tblPr>
      <w:tblLayout w:type="fixed"/>
      <w:tblCellMar>
        <w:top w:w="0" w:type="dxa"/>
        <w:left w:w="108" w:type="dxa"/>
        <w:bottom w:w="0" w:type="dxa"/>
        <w:right w:w="108" w:type="dxa"/>
      </w:tblCellMar>
    </w:tblPr>
  </w:style>
  <w:style w:type="paragraph" w:styleId="5">
    <w:name w:val="Balloon Text"/>
    <w:basedOn w:val="1"/>
    <w:link w:val="26"/>
    <w:unhideWhenUsed/>
    <w:qFormat/>
    <w:uiPriority w:val="99"/>
    <w:pPr>
      <w:spacing w:line="240" w:lineRule="auto"/>
    </w:pPr>
    <w:rPr>
      <w:rFonts w:ascii="Tahoma" w:hAnsi="Tahoma" w:cs="Tahoma"/>
      <w:sz w:val="16"/>
      <w:szCs w:val="16"/>
    </w:rPr>
  </w:style>
  <w:style w:type="paragraph" w:styleId="6">
    <w:name w:val="caption"/>
    <w:basedOn w:val="1"/>
    <w:next w:val="1"/>
    <w:unhideWhenUsed/>
    <w:qFormat/>
    <w:uiPriority w:val="35"/>
    <w:rPr>
      <w:rFonts w:ascii="Arial" w:hAnsi="Arial" w:eastAsia="SimHei" w:cs="Arial"/>
      <w:sz w:val="20"/>
    </w:rPr>
  </w:style>
  <w:style w:type="paragraph" w:styleId="7">
    <w:name w:val="footer"/>
    <w:basedOn w:val="1"/>
    <w:link w:val="32"/>
    <w:unhideWhenUsed/>
    <w:qFormat/>
    <w:uiPriority w:val="99"/>
    <w:pPr>
      <w:tabs>
        <w:tab w:val="center" w:pos="4680"/>
        <w:tab w:val="right" w:pos="9360"/>
      </w:tabs>
      <w:spacing w:after="0" w:line="240" w:lineRule="auto"/>
    </w:pPr>
  </w:style>
  <w:style w:type="paragraph" w:styleId="8">
    <w:name w:val="header"/>
    <w:basedOn w:val="1"/>
    <w:link w:val="31"/>
    <w:unhideWhenUsed/>
    <w:qFormat/>
    <w:uiPriority w:val="99"/>
    <w:pPr>
      <w:tabs>
        <w:tab w:val="center" w:pos="4680"/>
        <w:tab w:val="right" w:pos="9360"/>
      </w:tabs>
      <w:spacing w:after="0" w:line="240" w:lineRule="auto"/>
    </w:pPr>
  </w:style>
  <w:style w:type="paragraph" w:styleId="9">
    <w:name w:val="table of figures"/>
    <w:basedOn w:val="1"/>
    <w:next w:val="1"/>
    <w:unhideWhenUsed/>
    <w:qFormat/>
    <w:uiPriority w:val="99"/>
    <w:pPr>
      <w:ind w:left="200" w:leftChars="200" w:hanging="200" w:hangingChars="200"/>
    </w:pPr>
  </w:style>
  <w:style w:type="paragraph" w:styleId="10">
    <w:name w:val="toc 1"/>
    <w:basedOn w:val="1"/>
    <w:next w:val="1"/>
    <w:unhideWhenUsed/>
    <w:qFormat/>
    <w:uiPriority w:val="39"/>
    <w:pPr>
      <w:spacing w:after="100"/>
    </w:pPr>
  </w:style>
  <w:style w:type="paragraph" w:styleId="11">
    <w:name w:val="toc 2"/>
    <w:basedOn w:val="1"/>
    <w:next w:val="1"/>
    <w:unhideWhenUsed/>
    <w:qFormat/>
    <w:uiPriority w:val="39"/>
    <w:pPr>
      <w:spacing w:after="100"/>
      <w:ind w:left="240"/>
    </w:pPr>
  </w:style>
  <w:style w:type="paragraph" w:styleId="12">
    <w:name w:val="toc 3"/>
    <w:basedOn w:val="1"/>
    <w:next w:val="1"/>
    <w:unhideWhenUsed/>
    <w:qFormat/>
    <w:uiPriority w:val="39"/>
    <w:pPr>
      <w:spacing w:after="100"/>
      <w:ind w:left="480"/>
    </w:pPr>
  </w:style>
  <w:style w:type="character" w:styleId="14">
    <w:name w:val="Hyperlink"/>
    <w:basedOn w:val="13"/>
    <w:unhideWhenUsed/>
    <w:qFormat/>
    <w:uiPriority w:val="99"/>
    <w:rPr>
      <w:color w:val="0000FF"/>
      <w:u w:val="single"/>
    </w:rPr>
  </w:style>
  <w:style w:type="table" w:styleId="16">
    <w:name w:val="Table Grid"/>
    <w:basedOn w:val="15"/>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table" w:customStyle="1" w:styleId="17">
    <w:name w:val="Light Shading1"/>
    <w:basedOn w:val="15"/>
    <w:qFormat/>
    <w:uiPriority w:val="60"/>
    <w:pPr>
      <w:spacing w:after="0" w:line="240" w:lineRule="auto"/>
    </w:pPr>
    <w:rPr>
      <w:color w:val="000000" w:themeColor="text1" w:themeShade="BF"/>
    </w:rPr>
    <w:tblPr>
      <w:tblBorders>
        <w:top w:val="single" w:color="000000" w:themeColor="text1" w:sz="8" w:space="0"/>
        <w:bottom w:val="single" w:color="000000" w:themeColor="text1" w:sz="8" w:space="0"/>
      </w:tblBorders>
      <w:tblLayout w:type="fixed"/>
      <w:tblCellMar>
        <w:top w:w="0" w:type="dxa"/>
        <w:left w:w="108" w:type="dxa"/>
        <w:bottom w:w="0" w:type="dxa"/>
        <w:right w:w="108" w:type="dxa"/>
      </w:tblCellMar>
    </w:tblPr>
    <w:tblStylePr w:type="firstRow">
      <w:pPr>
        <w:spacing w:before="0" w:after="0" w:line="240" w:lineRule="auto"/>
      </w:pPr>
      <w:rPr>
        <w:b/>
        <w:bCs/>
      </w:r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cPr>
        <w:tcBorders>
          <w:left w:val="nil"/>
          <w:right w:val="nil"/>
          <w:insideH w:val="nil"/>
          <w:insideV w:val="nil"/>
        </w:tcBorders>
        <w:shd w:val="clear" w:color="auto" w:fill="BFBFBF" w:themeFill="text1" w:themeFillTint="3F"/>
      </w:tcPr>
    </w:tblStylePr>
    <w:tblStylePr w:type="band1Horz">
      <w:tcPr>
        <w:tcBorders>
          <w:left w:val="nil"/>
          <w:right w:val="nil"/>
          <w:insideH w:val="nil"/>
          <w:insideV w:val="nil"/>
        </w:tcBorders>
        <w:shd w:val="clear" w:color="auto" w:fill="BFBFBF" w:themeFill="text1" w:themeFillTint="3F"/>
      </w:tcPr>
    </w:tblStylePr>
  </w:style>
  <w:style w:type="table" w:customStyle="1" w:styleId="18">
    <w:name w:val="Light Shading - Accent 11"/>
    <w:basedOn w:val="15"/>
    <w:qFormat/>
    <w:uiPriority w:val="60"/>
    <w:pPr>
      <w:spacing w:after="0" w:line="240" w:lineRule="auto"/>
    </w:pPr>
    <w:rPr>
      <w:color w:val="366091" w:themeColor="accent1" w:themeShade="BF"/>
    </w:rPr>
    <w:tblPr>
      <w:tblBorders>
        <w:top w:val="single" w:color="4F81BD" w:themeColor="accent1" w:sz="8" w:space="0"/>
        <w:bottom w:val="single" w:color="4F81BD" w:themeColor="accent1" w:sz="8" w:space="0"/>
      </w:tblBorders>
      <w:tblLayout w:type="fixed"/>
      <w:tblCellMar>
        <w:top w:w="0" w:type="dxa"/>
        <w:left w:w="108" w:type="dxa"/>
        <w:bottom w:w="0" w:type="dxa"/>
        <w:right w:w="108" w:type="dxa"/>
      </w:tblCellMar>
    </w:tblPr>
    <w:tblStylePr w:type="firstRow">
      <w:pPr>
        <w:spacing w:before="0" w:after="0" w:line="240" w:lineRule="auto"/>
      </w:pPr>
      <w:rPr>
        <w:b/>
        <w:bCs/>
      </w:r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StylePr>
    <w:tblStylePr w:type="lastCol">
      <w:rPr>
        <w:b/>
        <w:bCs/>
      </w:rPr>
    </w:tblStylePr>
    <w:tblStylePr w:type="band1Vert">
      <w:tcPr>
        <w:tcBorders>
          <w:left w:val="nil"/>
          <w:right w:val="nil"/>
          <w:insideH w:val="nil"/>
          <w:insideV w:val="nil"/>
        </w:tcBorders>
        <w:shd w:val="clear" w:color="auto" w:fill="D3DFEE" w:themeFill="accent1" w:themeFillTint="3F"/>
      </w:tcPr>
    </w:tblStylePr>
    <w:tblStylePr w:type="band1Horz">
      <w:tcPr>
        <w:tcBorders>
          <w:left w:val="nil"/>
          <w:right w:val="nil"/>
          <w:insideH w:val="nil"/>
          <w:insideV w:val="nil"/>
        </w:tcBorders>
        <w:shd w:val="clear" w:color="auto" w:fill="D3DFEE" w:themeFill="accent1" w:themeFillTint="3F"/>
      </w:tcPr>
    </w:tblStylePr>
  </w:style>
  <w:style w:type="table" w:customStyle="1" w:styleId="19">
    <w:name w:val="Medium List 1 - Accent 11"/>
    <w:basedOn w:val="15"/>
    <w:qFormat/>
    <w:uiPriority w:val="65"/>
    <w:pPr>
      <w:spacing w:after="0" w:line="240" w:lineRule="auto"/>
    </w:pPr>
    <w:rPr>
      <w:color w:val="000000" w:themeColor="text1"/>
    </w:rPr>
    <w:tblPr>
      <w:tblBorders>
        <w:top w:val="single" w:color="4F81BD" w:themeColor="accent1" w:sz="8" w:space="0"/>
        <w:bottom w:val="single" w:color="4F81BD" w:themeColor="accent1" w:sz="8" w:space="0"/>
      </w:tblBorders>
      <w:tblLayout w:type="fixed"/>
      <w:tblCellMar>
        <w:top w:w="0" w:type="dxa"/>
        <w:left w:w="108" w:type="dxa"/>
        <w:bottom w:w="0" w:type="dxa"/>
        <w:right w:w="108" w:type="dxa"/>
      </w:tblCellMar>
    </w:tblPr>
    <w:tblStylePr w:type="firstRow">
      <w:rPr>
        <w:rFonts w:asciiTheme="majorHAnsi" w:hAnsiTheme="majorHAnsi" w:eastAsiaTheme="majorEastAsia" w:cstheme="majorBidi"/>
      </w:rPr>
      <w:tcPr>
        <w:tcBorders>
          <w:top w:val="nil"/>
          <w:bottom w:val="single" w:color="4F81BD" w:themeColor="accent1" w:sz="8" w:space="0"/>
        </w:tcBorders>
      </w:tcPr>
    </w:tblStylePr>
    <w:tblStylePr w:type="lastRow">
      <w:rPr>
        <w:b/>
        <w:bCs/>
        <w:color w:val="1F497D" w:themeColor="text2"/>
      </w:rPr>
      <w:tcPr>
        <w:tcBorders>
          <w:top w:val="single" w:color="4F81BD" w:themeColor="accent1" w:sz="8" w:space="0"/>
          <w:bottom w:val="single" w:color="4F81BD" w:themeColor="accent1" w:sz="8" w:space="0"/>
        </w:tcBorders>
      </w:tcPr>
    </w:tblStylePr>
    <w:tblStylePr w:type="firstCol">
      <w:rPr>
        <w:b/>
        <w:bCs/>
      </w:rPr>
    </w:tblStylePr>
    <w:tblStylePr w:type="lastCol">
      <w:rPr>
        <w:b/>
        <w:bCs/>
      </w:rPr>
      <w:tcPr>
        <w:tcBorders>
          <w:top w:val="single" w:color="4F81BD" w:themeColor="accent1" w:sz="8" w:space="0"/>
          <w:bottom w:val="single" w:color="4F81BD" w:themeColor="accent1" w:sz="8" w:space="0"/>
        </w:tcBorders>
      </w:tcPr>
    </w:tblStylePr>
    <w:tblStylePr w:type="band1Vert">
      <w:tcPr>
        <w:shd w:val="clear" w:color="auto" w:fill="D3DFEE" w:themeFill="accent1" w:themeFillTint="3F"/>
      </w:tcPr>
    </w:tblStylePr>
    <w:tblStylePr w:type="band1Horz">
      <w:tcPr>
        <w:shd w:val="clear" w:color="auto" w:fill="D3DFEE" w:themeFill="accent1" w:themeFillTint="3F"/>
      </w:tcPr>
    </w:tblStylePr>
  </w:style>
  <w:style w:type="character" w:customStyle="1" w:styleId="20">
    <w:name w:val="Heading 1 Char"/>
    <w:link w:val="2"/>
    <w:qFormat/>
    <w:uiPriority w:val="9"/>
    <w:rPr>
      <w:rFonts w:ascii="Cambria" w:hAnsi="Cambria" w:eastAsia="Times New Roman"/>
      <w:b/>
      <w:bCs/>
      <w:color w:val="365F91"/>
      <w:sz w:val="28"/>
      <w:szCs w:val="28"/>
    </w:rPr>
  </w:style>
  <w:style w:type="character" w:customStyle="1" w:styleId="21">
    <w:name w:val="Heading 2 Char"/>
    <w:link w:val="3"/>
    <w:qFormat/>
    <w:uiPriority w:val="9"/>
    <w:rPr>
      <w:rFonts w:ascii="Cambria" w:hAnsi="Cambria" w:eastAsia="Times New Roman"/>
      <w:b/>
      <w:bCs/>
      <w:color w:val="4F81BD"/>
      <w:sz w:val="26"/>
      <w:szCs w:val="26"/>
    </w:rPr>
  </w:style>
  <w:style w:type="character" w:customStyle="1" w:styleId="22">
    <w:name w:val="Heading 3 Char"/>
    <w:link w:val="4"/>
    <w:qFormat/>
    <w:uiPriority w:val="9"/>
    <w:rPr>
      <w:rFonts w:ascii="Cambria" w:hAnsi="Cambria" w:eastAsia="Times New Roman"/>
      <w:b/>
      <w:bCs/>
      <w:color w:val="4F81BD"/>
    </w:rPr>
  </w:style>
  <w:style w:type="paragraph" w:customStyle="1" w:styleId="23">
    <w:name w:val="List Paragraph1"/>
    <w:basedOn w:val="1"/>
    <w:qFormat/>
    <w:uiPriority w:val="34"/>
    <w:pPr>
      <w:ind w:left="720"/>
      <w:contextualSpacing/>
    </w:pPr>
  </w:style>
  <w:style w:type="paragraph" w:customStyle="1" w:styleId="24">
    <w:name w:val="TOC Heading1"/>
    <w:basedOn w:val="2"/>
    <w:next w:val="1"/>
    <w:unhideWhenUsed/>
    <w:qFormat/>
    <w:uiPriority w:val="39"/>
    <w:pPr>
      <w:outlineLvl w:val="9"/>
    </w:pPr>
  </w:style>
  <w:style w:type="paragraph" w:customStyle="1" w:styleId="25">
    <w:name w:val="Default"/>
    <w:qFormat/>
    <w:uiPriority w:val="0"/>
    <w:pPr>
      <w:autoSpaceDE w:val="0"/>
      <w:autoSpaceDN w:val="0"/>
      <w:adjustRightInd w:val="0"/>
      <w:spacing w:after="200" w:line="240" w:lineRule="auto"/>
    </w:pPr>
    <w:rPr>
      <w:rFonts w:ascii="Times New Roman" w:hAnsi="Times New Roman" w:eastAsia="Calibri" w:cs="Times New Roman"/>
      <w:color w:val="000000"/>
      <w:sz w:val="24"/>
      <w:szCs w:val="24"/>
      <w:lang w:val="en-US" w:eastAsia="en-US" w:bidi="ar-SA"/>
    </w:rPr>
  </w:style>
  <w:style w:type="character" w:customStyle="1" w:styleId="26">
    <w:name w:val="Balloon Text Char"/>
    <w:basedOn w:val="13"/>
    <w:link w:val="5"/>
    <w:semiHidden/>
    <w:qFormat/>
    <w:uiPriority w:val="99"/>
    <w:rPr>
      <w:rFonts w:ascii="Tahoma" w:hAnsi="Tahoma" w:cs="Tahoma"/>
      <w:sz w:val="16"/>
      <w:szCs w:val="16"/>
    </w:rPr>
  </w:style>
  <w:style w:type="character" w:customStyle="1" w:styleId="27">
    <w:name w:val="A7"/>
    <w:qFormat/>
    <w:uiPriority w:val="99"/>
    <w:rPr>
      <w:rFonts w:cs="Minion Pro"/>
      <w:color w:val="000000"/>
      <w:sz w:val="12"/>
      <w:szCs w:val="12"/>
    </w:rPr>
  </w:style>
  <w:style w:type="paragraph" w:customStyle="1" w:styleId="28">
    <w:name w:val="List Paragraph2"/>
    <w:basedOn w:val="1"/>
    <w:unhideWhenUsed/>
    <w:qFormat/>
    <w:uiPriority w:val="99"/>
    <w:pPr>
      <w:ind w:left="720"/>
      <w:contextualSpacing/>
    </w:pPr>
  </w:style>
  <w:style w:type="character" w:customStyle="1" w:styleId="29">
    <w:name w:val="15"/>
    <w:basedOn w:val="13"/>
    <w:qFormat/>
    <w:uiPriority w:val="0"/>
    <w:rPr>
      <w:rFonts w:hint="default" w:ascii="Times New Roman" w:hAnsi="Times New Roman" w:cs="Times New Roman"/>
      <w:color w:val="0000FF"/>
      <w:u w:val="single"/>
    </w:rPr>
  </w:style>
  <w:style w:type="character" w:customStyle="1" w:styleId="30">
    <w:name w:val="Placeholder Text1"/>
    <w:basedOn w:val="13"/>
    <w:unhideWhenUsed/>
    <w:qFormat/>
    <w:uiPriority w:val="99"/>
    <w:rPr>
      <w:color w:val="808080"/>
    </w:rPr>
  </w:style>
  <w:style w:type="character" w:customStyle="1" w:styleId="31">
    <w:name w:val="Header Char"/>
    <w:basedOn w:val="13"/>
    <w:link w:val="8"/>
    <w:semiHidden/>
    <w:qFormat/>
    <w:uiPriority w:val="99"/>
    <w:rPr>
      <w:rFonts w:eastAsia="Calibri"/>
      <w:sz w:val="24"/>
    </w:rPr>
  </w:style>
  <w:style w:type="character" w:customStyle="1" w:styleId="32">
    <w:name w:val="Footer Char"/>
    <w:basedOn w:val="13"/>
    <w:link w:val="7"/>
    <w:qFormat/>
    <w:uiPriority w:val="99"/>
    <w:rPr>
      <w:rFonts w:eastAsia="Calibri"/>
      <w:sz w:val="24"/>
    </w:rPr>
  </w:style>
  <w:style w:type="paragraph" w:customStyle="1" w:styleId="33">
    <w:name w:val="TOC Heading2"/>
    <w:basedOn w:val="2"/>
    <w:next w:val="1"/>
    <w:unhideWhenUsed/>
    <w:qFormat/>
    <w:uiPriority w:val="39"/>
    <w:pPr>
      <w:spacing w:after="0" w:line="276" w:lineRule="auto"/>
      <w:outlineLvl w:val="9"/>
    </w:pPr>
    <w:rPr>
      <w:rFonts w:asciiTheme="majorHAnsi" w:hAnsiTheme="majorHAnsi" w:eastAsiaTheme="majorEastAsia" w:cstheme="majorBidi"/>
      <w:color w:val="366091" w:themeColor="accent1" w:themeShade="BF"/>
    </w:rPr>
  </w:style>
  <w:style w:type="paragraph" w:customStyle="1" w:styleId="34">
    <w:name w:val="List Paragraph3"/>
    <w:basedOn w:val="1"/>
    <w:qFormat/>
    <w:uiPriority w:val="99"/>
    <w:pPr>
      <w:spacing w:before="100" w:beforeAutospacing="1" w:line="273" w:lineRule="auto"/>
      <w:ind w:left="720"/>
      <w:contextualSpacing/>
    </w:pPr>
    <w:rPr>
      <w:rFonts w:ascii="Calibri" w:hAnsi="Calibri" w:eastAsia="SimSun"/>
      <w:sz w:val="22"/>
      <w:szCs w:val="2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chart" Target="charts/chart1.xml"/><Relationship Id="rId33" Type="http://schemas.openxmlformats.org/officeDocument/2006/relationships/image" Target="media/image13.emf"/><Relationship Id="rId32" Type="http://schemas.openxmlformats.org/officeDocument/2006/relationships/oleObject" Target="embeddings/oleObject11.bin"/><Relationship Id="rId31" Type="http://schemas.openxmlformats.org/officeDocument/2006/relationships/image" Target="media/image12.emf"/><Relationship Id="rId30" Type="http://schemas.openxmlformats.org/officeDocument/2006/relationships/oleObject" Target="embeddings/oleObject10.bin"/><Relationship Id="rId3" Type="http://schemas.openxmlformats.org/officeDocument/2006/relationships/header" Target="header1.xml"/><Relationship Id="rId29" Type="http://schemas.openxmlformats.org/officeDocument/2006/relationships/image" Target="media/image11.emf"/><Relationship Id="rId28" Type="http://schemas.openxmlformats.org/officeDocument/2006/relationships/oleObject" Target="embeddings/oleObject9.bin"/><Relationship Id="rId27" Type="http://schemas.openxmlformats.org/officeDocument/2006/relationships/image" Target="media/image10.emf"/><Relationship Id="rId26" Type="http://schemas.openxmlformats.org/officeDocument/2006/relationships/oleObject" Target="embeddings/oleObject8.bin"/><Relationship Id="rId25" Type="http://schemas.openxmlformats.org/officeDocument/2006/relationships/image" Target="media/image9.emf"/><Relationship Id="rId24" Type="http://schemas.openxmlformats.org/officeDocument/2006/relationships/oleObject" Target="embeddings/oleObject7.bin"/><Relationship Id="rId23" Type="http://schemas.openxmlformats.org/officeDocument/2006/relationships/image" Target="media/image8.emf"/><Relationship Id="rId22" Type="http://schemas.openxmlformats.org/officeDocument/2006/relationships/oleObject" Target="embeddings/oleObject6.bin"/><Relationship Id="rId21" Type="http://schemas.openxmlformats.org/officeDocument/2006/relationships/image" Target="media/image7.emf"/><Relationship Id="rId20" Type="http://schemas.openxmlformats.org/officeDocument/2006/relationships/oleObject" Target="embeddings/oleObject5.bin"/><Relationship Id="rId2" Type="http://schemas.openxmlformats.org/officeDocument/2006/relationships/settings" Target="settings.xml"/><Relationship Id="rId19" Type="http://schemas.openxmlformats.org/officeDocument/2006/relationships/image" Target="media/image6.emf"/><Relationship Id="rId18" Type="http://schemas.openxmlformats.org/officeDocument/2006/relationships/oleObject" Target="embeddings/oleObject4.bin"/><Relationship Id="rId17" Type="http://schemas.openxmlformats.org/officeDocument/2006/relationships/image" Target="media/image5.emf"/><Relationship Id="rId16" Type="http://schemas.openxmlformats.org/officeDocument/2006/relationships/oleObject" Target="embeddings/oleObject3.bin"/><Relationship Id="rId15" Type="http://schemas.openxmlformats.org/officeDocument/2006/relationships/image" Target="media/image4.emf"/><Relationship Id="rId14" Type="http://schemas.openxmlformats.org/officeDocument/2006/relationships/oleObject" Target="embeddings/oleObject2.bin"/><Relationship Id="rId13" Type="http://schemas.openxmlformats.org/officeDocument/2006/relationships/image" Target="media/image3.emf"/><Relationship Id="rId12" Type="http://schemas.openxmlformats.org/officeDocument/2006/relationships/oleObject" Target="embeddings/oleObject1.bin"/><Relationship Id="rId11" Type="http://schemas.openxmlformats.org/officeDocument/2006/relationships/image" Target="media/image2.jpeg"/><Relationship Id="rId10" Type="http://schemas.openxmlformats.org/officeDocument/2006/relationships/image" Target="media/image1.emf"/><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toshiba\Desktop\HUNDEE\moti%20antioxidan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t>%</a:t>
            </a:r>
            <a:r>
              <a:rPr baseline="0"/>
              <a:t> Inhibition vesus Concentration of the extracts.</a:t>
            </a:r>
            <a:endParaRPr baseline="0"/>
          </a:p>
        </c:rich>
      </c:tx>
      <c:layout/>
      <c:overlay val="0"/>
      <c:spPr>
        <a:noFill/>
        <a:ln>
          <a:noFill/>
        </a:ln>
        <a:effectLst/>
      </c:spPr>
    </c:title>
    <c:autoTitleDeleted val="0"/>
    <c:plotArea>
      <c:layout/>
      <c:scatterChart>
        <c:scatterStyle val="lineMarker"/>
        <c:varyColors val="0"/>
        <c:ser>
          <c:idx val="0"/>
          <c:order val="0"/>
          <c:tx>
            <c:strRef>
              <c:f>'[moti antioxidant.xlsx]MOTI'!$I$26</c:f>
              <c:strCache>
                <c:ptCount val="1"/>
                <c:pt idx="0">
                  <c:v>%inhibi ST</c:v>
                </c:pt>
              </c:strCache>
            </c:strRef>
          </c:tx>
          <c:spPr>
            <a:ln w="19050" cap="rnd" cmpd="sng" algn="ctr">
              <a:noFill/>
              <a:prstDash val="solid"/>
              <a:round/>
            </a:ln>
            <a:effectLst/>
          </c:spPr>
          <c:marker>
            <c:symbol val="circle"/>
            <c:size val="5"/>
            <c:spPr>
              <a:solidFill>
                <a:schemeClr val="accent1"/>
              </a:solidFill>
              <a:ln w="9525" cap="flat" cmpd="sng" algn="ctr">
                <a:solidFill>
                  <a:schemeClr val="accent1"/>
                </a:solidFill>
                <a:prstDash val="solid"/>
                <a:round/>
              </a:ln>
              <a:effectLst/>
            </c:spPr>
          </c:marker>
          <c:dLbls>
            <c:delete val="1"/>
          </c:dLbls>
          <c:trendline>
            <c:spPr>
              <a:ln w="19050" cap="rnd" cmpd="sng" algn="ctr">
                <a:solidFill>
                  <a:schemeClr val="accent1"/>
                </a:solidFill>
                <a:prstDash val="sysDot"/>
                <a:round/>
              </a:ln>
              <a:effectLst/>
            </c:spPr>
            <c:trendlineType val="linear"/>
            <c:dispRSqr val="1"/>
            <c:dispEq val="1"/>
            <c:trendlineLbl>
              <c:layout/>
              <c:tx>
                <c:rich>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r>
                      <a:rPr lang="en-US"/>
                      <a:t>y = 1.009C - 5.465
R² = 0.997</a:t>
                    </a:r>
                    <a:endParaRPr lang="en-US"/>
                  </a:p>
                </c:rich>
              </c:tx>
              <c:numFmt formatCode="General" sourceLinked="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trendlineLbl>
          </c:trendline>
          <c:xVal>
            <c:numRef>
              <c:f>'[moti antioxidant.xlsx]MOTI'!$H$27:$H$31</c:f>
              <c:numCache>
                <c:formatCode>General</c:formatCode>
                <c:ptCount val="5"/>
                <c:pt idx="0">
                  <c:v>20</c:v>
                </c:pt>
                <c:pt idx="1">
                  <c:v>40</c:v>
                </c:pt>
                <c:pt idx="2">
                  <c:v>60</c:v>
                </c:pt>
                <c:pt idx="3">
                  <c:v>80</c:v>
                </c:pt>
                <c:pt idx="4">
                  <c:v>100</c:v>
                </c:pt>
              </c:numCache>
            </c:numRef>
          </c:xVal>
          <c:yVal>
            <c:numRef>
              <c:f>'[moti antioxidant.xlsx]MOTI'!$I$27:$I$31</c:f>
              <c:numCache>
                <c:formatCode>General</c:formatCode>
                <c:ptCount val="5"/>
                <c:pt idx="0">
                  <c:v>16.23</c:v>
                </c:pt>
                <c:pt idx="1">
                  <c:v>32.04</c:v>
                </c:pt>
                <c:pt idx="2">
                  <c:v>56.39</c:v>
                </c:pt>
                <c:pt idx="3">
                  <c:v>75.43</c:v>
                </c:pt>
                <c:pt idx="4">
                  <c:v>95.51</c:v>
                </c:pt>
              </c:numCache>
            </c:numRef>
          </c:yVal>
          <c:smooth val="0"/>
        </c:ser>
        <c:ser>
          <c:idx val="1"/>
          <c:order val="1"/>
          <c:tx>
            <c:strRef>
              <c:f>'[moti antioxidant.xlsx]MOTI'!$J$26</c:f>
              <c:strCache>
                <c:ptCount val="1"/>
                <c:pt idx="0">
                  <c:v>%inhibi M</c:v>
                </c:pt>
              </c:strCache>
            </c:strRef>
          </c:tx>
          <c:spPr>
            <a:ln w="25400" cap="rnd" cmpd="sng" algn="ctr">
              <a:noFill/>
              <a:prstDash val="solid"/>
              <a:round/>
            </a:ln>
            <a:effectLst/>
          </c:spPr>
          <c:marker>
            <c:symbol val="circle"/>
            <c:size val="5"/>
            <c:spPr>
              <a:solidFill>
                <a:schemeClr val="accent2"/>
              </a:solidFill>
              <a:ln w="9525" cap="flat" cmpd="sng" algn="ctr">
                <a:solidFill>
                  <a:schemeClr val="accent2"/>
                </a:solidFill>
                <a:prstDash val="solid"/>
                <a:round/>
              </a:ln>
              <a:effectLst/>
            </c:spPr>
          </c:marker>
          <c:dLbls>
            <c:delete val="1"/>
          </c:dLbls>
          <c:trendline>
            <c:spPr>
              <a:ln w="19050" cap="rnd" cmpd="sng" algn="ctr">
                <a:solidFill>
                  <a:schemeClr val="accent2"/>
                </a:solidFill>
                <a:prstDash val="sysDot"/>
                <a:round/>
              </a:ln>
              <a:effectLst/>
            </c:spPr>
            <c:trendlineType val="linear"/>
            <c:dispRSqr val="0"/>
            <c:dispEq val="0"/>
          </c:trendline>
          <c:trendline>
            <c:trendlineType val="linear"/>
            <c:dispRSqr val="1"/>
            <c:dispEq val="1"/>
            <c:trendlineLbl>
              <c:layout>
                <c:manualLayout>
                  <c:x val="0.193958801844781"/>
                  <c:y val="-0.0759160279049106"/>
                </c:manualLayout>
              </c:layout>
              <c:tx>
                <c:rich>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r>
                      <a:rPr lang="en-US"/>
                      <a:t>y = 0.417C + 1.799
R² = 0.962</a:t>
                    </a:r>
                    <a:endParaRPr lang="en-US"/>
                  </a:p>
                </c:rich>
              </c:tx>
              <c:numFmt formatCode="General" sourceLinked="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trendlineLbl>
          </c:trendline>
          <c:xVal>
            <c:numRef>
              <c:f>'[moti antioxidant.xlsx]MOTI'!$H$27:$H$31</c:f>
              <c:numCache>
                <c:formatCode>General</c:formatCode>
                <c:ptCount val="5"/>
                <c:pt idx="0">
                  <c:v>20</c:v>
                </c:pt>
                <c:pt idx="1">
                  <c:v>40</c:v>
                </c:pt>
                <c:pt idx="2">
                  <c:v>60</c:v>
                </c:pt>
                <c:pt idx="3">
                  <c:v>80</c:v>
                </c:pt>
                <c:pt idx="4">
                  <c:v>100</c:v>
                </c:pt>
              </c:numCache>
            </c:numRef>
          </c:xVal>
          <c:yVal>
            <c:numRef>
              <c:f>'[moti antioxidant.xlsx]MOTI'!$J$27:$J$31</c:f>
              <c:numCache>
                <c:formatCode>General</c:formatCode>
                <c:ptCount val="5"/>
                <c:pt idx="0">
                  <c:v>13.19</c:v>
                </c:pt>
                <c:pt idx="1">
                  <c:v>14.41</c:v>
                </c:pt>
                <c:pt idx="2">
                  <c:v>26.95</c:v>
                </c:pt>
                <c:pt idx="3">
                  <c:v>34.88</c:v>
                </c:pt>
                <c:pt idx="4">
                  <c:v>44.65</c:v>
                </c:pt>
              </c:numCache>
            </c:numRef>
          </c:yVal>
          <c:smooth val="0"/>
        </c:ser>
        <c:ser>
          <c:idx val="2"/>
          <c:order val="2"/>
          <c:tx>
            <c:strRef>
              <c:f>'[moti antioxidant.xlsx]MOTI'!$K$26</c:f>
              <c:strCache>
                <c:ptCount val="1"/>
                <c:pt idx="0">
                  <c:v>%inhibi Ch</c:v>
                </c:pt>
              </c:strCache>
            </c:strRef>
          </c:tx>
          <c:spPr>
            <a:ln w="19050" cap="rnd" cmpd="sng" algn="ctr">
              <a:noFill/>
              <a:prstDash val="solid"/>
              <a:round/>
            </a:ln>
            <a:effectLst/>
          </c:spPr>
          <c:marker>
            <c:symbol val="circle"/>
            <c:size val="5"/>
            <c:spPr>
              <a:solidFill>
                <a:schemeClr val="accent3"/>
              </a:solidFill>
              <a:ln w="9525" cap="flat" cmpd="sng" algn="ctr">
                <a:solidFill>
                  <a:schemeClr val="accent3"/>
                </a:solidFill>
                <a:prstDash val="solid"/>
                <a:round/>
              </a:ln>
              <a:effectLst/>
            </c:spPr>
          </c:marker>
          <c:dLbls>
            <c:delete val="1"/>
          </c:dLbls>
          <c:trendline>
            <c:spPr>
              <a:ln w="19050" cap="rnd" cmpd="sng" algn="ctr">
                <a:solidFill>
                  <a:schemeClr val="accent3"/>
                </a:solidFill>
                <a:prstDash val="sysDot"/>
                <a:round/>
              </a:ln>
              <a:effectLst/>
            </c:spPr>
            <c:trendlineType val="linear"/>
            <c:dispRSqr val="1"/>
            <c:dispEq val="1"/>
            <c:trendlineLbl>
              <c:layout>
                <c:manualLayout>
                  <c:x val="0.181859830540047"/>
                  <c:y val="-0.0604583616589565"/>
                </c:manualLayout>
              </c:layout>
              <c:tx>
                <c:rich>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r>
                      <a:rPr lang="en-US"/>
                      <a:t>y = 0.112C - 2.259
R² = 0.939</a:t>
                    </a:r>
                    <a:endParaRPr lang="en-US"/>
                  </a:p>
                </c:rich>
              </c:tx>
              <c:numFmt formatCode="General" sourceLinked="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trendlineLbl>
          </c:trendline>
          <c:xVal>
            <c:numRef>
              <c:f>'[moti antioxidant.xlsx]MOTI'!$H$27:$H$31</c:f>
              <c:numCache>
                <c:formatCode>General</c:formatCode>
                <c:ptCount val="5"/>
                <c:pt idx="0">
                  <c:v>20</c:v>
                </c:pt>
                <c:pt idx="1">
                  <c:v>40</c:v>
                </c:pt>
                <c:pt idx="2">
                  <c:v>60</c:v>
                </c:pt>
                <c:pt idx="3">
                  <c:v>80</c:v>
                </c:pt>
                <c:pt idx="4">
                  <c:v>100</c:v>
                </c:pt>
              </c:numCache>
            </c:numRef>
          </c:xVal>
          <c:yVal>
            <c:numRef>
              <c:f>'[moti antioxidant.xlsx]MOTI'!$K$27:$K$31</c:f>
              <c:numCache>
                <c:formatCode>General</c:formatCode>
                <c:ptCount val="5"/>
                <c:pt idx="0">
                  <c:v>0.880000000000001</c:v>
                </c:pt>
                <c:pt idx="1">
                  <c:v>1.72</c:v>
                </c:pt>
                <c:pt idx="2">
                  <c:v>3.2</c:v>
                </c:pt>
                <c:pt idx="3">
                  <c:v>7.43</c:v>
                </c:pt>
                <c:pt idx="4">
                  <c:v>9.3</c:v>
                </c:pt>
              </c:numCache>
            </c:numRef>
          </c:yVal>
          <c:smooth val="0"/>
        </c:ser>
        <c:dLbls>
          <c:showLegendKey val="0"/>
          <c:showVal val="0"/>
          <c:showCatName val="0"/>
          <c:showSerName val="0"/>
          <c:showPercent val="0"/>
          <c:showBubbleSize val="0"/>
        </c:dLbls>
        <c:axId val="127354752"/>
        <c:axId val="127356288"/>
      </c:scatterChart>
      <c:valAx>
        <c:axId val="127354752"/>
        <c:scaling>
          <c:orientation val="minMax"/>
        </c:scaling>
        <c:delete val="0"/>
        <c:axPos val="b"/>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27356288"/>
        <c:crosses val="autoZero"/>
        <c:crossBetween val="midCat"/>
      </c:valAx>
      <c:valAx>
        <c:axId val="127356288"/>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27354752"/>
        <c:crosses val="autoZero"/>
        <c:crossBetween val="midCat"/>
      </c:valAx>
      <c:spPr>
        <a:noFill/>
        <a:ln w="25400">
          <a:noFill/>
        </a:ln>
        <a:effectLst/>
      </c:spPr>
    </c:plotArea>
    <c:legend>
      <c:legendPos val="b"/>
      <c:legendEntry>
        <c:idx val="3"/>
        <c:delete val="1"/>
      </c:legendEntry>
      <c:legendEntry>
        <c:idx val="4"/>
        <c:delete val="1"/>
      </c:legendEntry>
      <c:legendEntry>
        <c:idx val="5"/>
        <c:delete val="1"/>
      </c:legendEntry>
      <c:legendEntry>
        <c:idx val="6"/>
        <c:delete val="1"/>
      </c:legendEntry>
      <c:layout/>
      <c:overlay val="0"/>
      <c:spPr>
        <a:noFill/>
        <a:ln>
          <a:noFill/>
        </a:ln>
        <a:effectLst/>
      </c:spPr>
      <c:txPr>
        <a:bodyPr rot="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en-US"/>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4097"/>
    <customShpInfo spid="_x0000_s4098"/>
    <customShpInfo spid="_x0000_s4099"/>
    <customShpInfo spid="_x0000_s4101"/>
  </customShpExts>
</s:customData>
</file>

<file path=customXml/item2.xml><?xml version="1.0" encoding="utf-8"?>
<b:Sources xmlns:b="http://schemas.openxmlformats.org/officeDocument/2006/bibliography" xmlns="http://schemas.openxmlformats.org/officeDocument/2006/bibliography" SelectedStyle="\APA.XSL" StyleName="APA">
  <b:Source>
    <b:Tag>Placeholder1</b:Tag>
    <b:SourceType>JournalArticle</b:SourceType>
    <b:Guid>{C6A523F7-83FA-4544-9D58-76F15A9734DC}</b:Guid>
    <b:LCID>0</b:LCID>
    <b:RefOrder>1</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AD170EE-72E8-404B-AB84-4C429BE43CA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40</Pages>
  <Words>7027</Words>
  <Characters>40044</Characters>
  <Lines>376</Lines>
  <Paragraphs>106</Paragraphs>
  <ScaleCrop>false</ScaleCrop>
  <LinksUpToDate>false</LinksUpToDate>
  <CharactersWithSpaces>48244</CharactersWithSpaces>
  <Application>WPS Office_10.2.0.6051_F1E327BC-269C-435d-A152-05C5408002CA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2018-04-25T20:41:00Z</dcterms:created>
  <dc:creator>toshiba</dc:creator>
  <cp:lastModifiedBy>toshiba</cp:lastModifiedBy>
  <cp:lastPrinted>2018-05-29T19:48:00Z</cp:lastPrinted>
  <dcterms:modified xsi:type="dcterms:W3CDTF">2018-06-19T07:50:53Z</dcterms:modified>
  <cp:revision>1037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1033-10.2.0.6051</vt:lpwstr>
  </property>
</Properties>
</file>